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A9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黑体" w:hAnsi="黑体" w:eastAsia="黑体" w:cs="黑体"/>
          <w:color w:val="000000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黑体" w:hAnsi="黑体" w:eastAsia="黑体" w:cs="黑体"/>
          <w:color w:val="000000"/>
          <w:spacing w:val="0"/>
          <w:kern w:val="0"/>
          <w:sz w:val="32"/>
          <w:szCs w:val="32"/>
          <w:highlight w:val="none"/>
          <w:lang w:eastAsia="zh-CN"/>
        </w:rPr>
        <w:t>1</w:t>
      </w:r>
    </w:p>
    <w:p w14:paraId="2BC942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 w14:paraId="06248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Times New Roman" w:eastAsia="方正小标宋简体" w:cs="方正小标宋简体"/>
          <w:spacing w:val="0"/>
          <w:sz w:val="44"/>
          <w:lang w:val="en-US" w:eastAsia="zh-CN" w:bidi="ar-SA"/>
        </w:rPr>
      </w:pPr>
      <w:bookmarkStart w:id="0" w:name="_GoBack"/>
      <w:r>
        <w:rPr>
          <w:rFonts w:hint="eastAsia" w:ascii="方正小标宋简体" w:hAnsi="Times New Roman" w:eastAsia="方正小标宋简体" w:cs="方正小标宋简体"/>
          <w:spacing w:val="0"/>
          <w:sz w:val="44"/>
          <w:lang w:val="en-US" w:eastAsia="zh-CN" w:bidi="ar-SA"/>
        </w:rPr>
        <w:t>省直机关工作综合技能竞赛大纲</w:t>
      </w:r>
    </w:p>
    <w:bookmarkEnd w:id="0"/>
    <w:p w14:paraId="5C174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仿宋" w:hAnsi="仿宋" w:eastAsia="仿宋" w:cs="仿宋"/>
          <w:color w:val="000000"/>
          <w:spacing w:val="10"/>
          <w:sz w:val="32"/>
          <w:szCs w:val="32"/>
          <w:lang w:val="en-US" w:eastAsia="zh-CN"/>
        </w:rPr>
      </w:pPr>
    </w:p>
    <w:p w14:paraId="073A1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黑体" w:hAnsi="黑体" w:eastAsia="黑体" w:cs="黑体"/>
          <w:spacing w:val="1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11"/>
          <w:sz w:val="32"/>
          <w:szCs w:val="32"/>
          <w:lang w:eastAsia="zh-CN"/>
        </w:rPr>
        <w:t>一、竞赛检验的主要能力</w:t>
      </w:r>
    </w:p>
    <w:p w14:paraId="6E23C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竞赛主要检验机关工作所需的综合技能，重点考察理论学习、群众工作、公文写作能力。</w:t>
      </w:r>
    </w:p>
    <w:p w14:paraId="437C8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11"/>
          <w:sz w:val="32"/>
          <w:szCs w:val="32"/>
          <w:lang w:val="en-US" w:eastAsia="zh-CN"/>
        </w:rPr>
        <w:t>（一）理论学习。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主要考察对党的最新理论成果、重要会议精神和政策法规的掌握、理解和运用。参赛者需深入学习和领会习近平新时代中国特色社会主义思想，熟悉党的二十大及历次全会精神</w:t>
      </w:r>
      <w:r>
        <w:rPr>
          <w:rFonts w:hint="eastAsia" w:ascii="仿宋_GB2312" w:hAnsi="仿宋_GB2312" w:cs="仿宋_GB2312"/>
          <w:color w:val="000000"/>
          <w:spacing w:val="11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cs="仿宋_GB2312"/>
          <w:b w:val="0"/>
          <w:bCs w:val="0"/>
          <w:spacing w:val="11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sz w:val="32"/>
          <w:szCs w:val="32"/>
          <w:lang w:val="en-US" w:eastAsia="zh-CN"/>
        </w:rPr>
        <w:t>开展树立和践行正确政绩观学习教育，巩固拓展深入贯彻中央八项规定精神学习教育成果</w:t>
      </w:r>
      <w:r>
        <w:rPr>
          <w:rFonts w:hint="eastAsia" w:ascii="仿宋_GB2312" w:hAnsi="仿宋_GB2312" w:cs="仿宋_GB2312"/>
          <w:b w:val="0"/>
          <w:bCs w:val="0"/>
          <w:spacing w:val="11"/>
          <w:sz w:val="32"/>
          <w:szCs w:val="32"/>
          <w:lang w:val="en-US" w:eastAsia="zh-CN"/>
        </w:rPr>
        <w:t>等的要求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学习掌握有关理论、政策、法规和知识；学习掌握省委省政府重要会议精神和深</w:t>
      </w:r>
      <w:r>
        <w:rPr>
          <w:rFonts w:hint="eastAsia" w:ascii="仿宋_GB2312" w:hAnsi="仿宋_GB2312" w:cs="仿宋_GB2312"/>
          <w:color w:val="000000"/>
          <w:spacing w:val="11"/>
          <w:sz w:val="32"/>
          <w:szCs w:val="32"/>
          <w:lang w:val="en-US" w:eastAsia="zh-CN"/>
        </w:rPr>
        <w:t>入开展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“三争”行动等重要工作部署要求。</w:t>
      </w:r>
    </w:p>
    <w:p w14:paraId="589CB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ascii="Times New Roman" w:hAnsi="Times New Roman" w:cs="Times New Roman"/>
          <w:spacing w:val="11"/>
          <w:sz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11"/>
          <w:sz w:val="32"/>
          <w:szCs w:val="32"/>
          <w:lang w:val="en-US" w:eastAsia="zh-CN"/>
        </w:rPr>
        <w:t>（二）群众工作。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群众工作考核涵盖调查研究与群众服务两大核心内容，主要考察参赛者对群众工作、调查研究相关理论、政策、法规的掌握、理解和运用能力。要求参赛者能够围绕党的理论和路线方针政策、重大决策部署谋划调研主题、设计调研方案，熟练掌握调研主要方法、步骤和相关要求，善于总结分析工作情况、精准发现问题、研究提出对策措施，能够运用习近平新时代中国特色社会主义思想的世界观、方法论和贯穿其中的立场观点方法研判工作、总结经验、破解难题，具备规范撰写调研报告的文字表达能力。熟练掌握新时代党的群众路线相关要求，树牢群众观念、站稳群众立场，掌握与群众沟通联系的方式、方法和技巧，具备面向群众宣传党的路线方针政策、沟通协调群众关系、回应群众合法合理诉求、开展群众工作应急处突和互联网群众工作的能力，能够妥善处置群众上访、信访等特定场景问题。同时，要求参赛者具备扎实的调研工作能力</w:t>
      </w:r>
      <w:r>
        <w:rPr>
          <w:rFonts w:hint="eastAsia" w:ascii="仿宋_GB2312" w:hAnsi="仿宋_GB2312" w:cs="仿宋_GB2312"/>
          <w:color w:val="000000"/>
          <w:spacing w:val="11"/>
          <w:sz w:val="32"/>
          <w:szCs w:val="32"/>
          <w:lang w:val="en-US" w:eastAsia="zh-CN"/>
        </w:rPr>
        <w:t>。</w:t>
      </w:r>
    </w:p>
    <w:p w14:paraId="3A2EA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11"/>
          <w:sz w:val="32"/>
          <w:szCs w:val="32"/>
          <w:lang w:val="en-US" w:eastAsia="zh-CN"/>
        </w:rPr>
        <w:t>（三）公文写作。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主要考察机关工作所需的文字表达能力。参赛者需具备一定的思想政治理论素养，掌握《党政机关公文处理工作条例》的要求，掌握公文写作的基本规范和技巧，能够撰写出格式规范、内容准确、逻辑严谨、表达清晰的公文。检验范围既包括《党政机关公文处理工作条例》规定的公文种类，还包括领导讲话稿、会议主持词、调研报告等。</w:t>
      </w:r>
    </w:p>
    <w:p w14:paraId="013C4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黑体" w:hAnsi="黑体" w:eastAsia="黑体" w:cs="黑体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11"/>
          <w:sz w:val="32"/>
          <w:szCs w:val="32"/>
          <w:highlight w:val="none"/>
          <w:lang w:eastAsia="zh-CN"/>
        </w:rPr>
        <w:t>二、竞赛主要形式</w:t>
      </w:r>
    </w:p>
    <w:p w14:paraId="74F58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本次竞赛的形式包括闭卷机考、现场问答及竞答。</w:t>
      </w:r>
    </w:p>
    <w:p w14:paraId="3A8B8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11"/>
          <w:sz w:val="32"/>
          <w:szCs w:val="32"/>
          <w:lang w:eastAsia="zh-CN"/>
        </w:rPr>
        <w:t>（一）闭卷机考。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题型包括：</w:t>
      </w:r>
      <w:r>
        <w:rPr>
          <w:rFonts w:hint="eastAsia" w:ascii="仿宋_GB2312" w:hAnsi="仿宋_GB2312" w:eastAsia="仿宋_GB2312" w:cs="仿宋_GB2312"/>
          <w:color w:val="000000"/>
          <w:spacing w:val="11"/>
          <w:kern w:val="0"/>
          <w:sz w:val="32"/>
          <w:szCs w:val="32"/>
          <w:lang w:eastAsia="zh-CN"/>
        </w:rPr>
        <w:t>选择题、判断题、</w:t>
      </w:r>
      <w:r>
        <w:rPr>
          <w:rFonts w:hint="eastAsia" w:ascii="仿宋_GB2312" w:hAnsi="仿宋_GB2312" w:eastAsia="仿宋_GB2312" w:cs="仿宋_GB2312"/>
          <w:color w:val="000000"/>
          <w:spacing w:val="11"/>
          <w:kern w:val="0"/>
          <w:sz w:val="32"/>
          <w:szCs w:val="32"/>
          <w:lang w:val="en-US" w:eastAsia="zh-CN"/>
        </w:rPr>
        <w:t>案例分析、</w:t>
      </w:r>
      <w:r>
        <w:rPr>
          <w:rFonts w:hint="eastAsia" w:ascii="仿宋_GB2312" w:hAnsi="仿宋_GB2312" w:eastAsia="仿宋_GB2312" w:cs="仿宋_GB2312"/>
          <w:color w:val="000000"/>
          <w:spacing w:val="11"/>
          <w:kern w:val="0"/>
          <w:sz w:val="32"/>
          <w:szCs w:val="32"/>
          <w:lang w:eastAsia="zh-CN"/>
        </w:rPr>
        <w:t>公文写作实操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。</w:t>
      </w:r>
    </w:p>
    <w:p w14:paraId="1BE6F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7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val="en-US" w:eastAsia="zh-CN"/>
        </w:rPr>
        <w:t>1.选择题和判断题。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主要检验对理论知识以及调查研究、群众工作、公文写作所涉知识和要求的掌握情况。</w:t>
      </w:r>
    </w:p>
    <w:p w14:paraId="01D75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7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val="en-US" w:eastAsia="zh-CN"/>
        </w:rPr>
        <w:t>2.案例分析题。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主要检验调查研究和群众工作能力。以文字形式模拟现实工作中调查研究和群众工作的一个场景，参赛者按要求进行作答。</w:t>
      </w:r>
    </w:p>
    <w:p w14:paraId="5F23A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7" w:firstLineChars="200"/>
        <w:textAlignment w:val="auto"/>
        <w:rPr>
          <w:rFonts w:hint="eastAsia" w:ascii="仿宋" w:hAnsi="仿宋" w:eastAsia="仿宋" w:cs="仿宋"/>
          <w:spacing w:val="1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32"/>
          <w:szCs w:val="32"/>
          <w:lang w:val="en-US" w:eastAsia="zh-CN"/>
        </w:rPr>
        <w:t>3.公文写作题。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主要检验公文写作能力。参赛者按题目给定要求，以全文撰写、内容简写或提纲撰写等形式进行作答。</w:t>
      </w:r>
    </w:p>
    <w:p w14:paraId="57DF2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11"/>
          <w:sz w:val="32"/>
          <w:szCs w:val="32"/>
          <w:lang w:val="en-US" w:eastAsia="zh-CN"/>
        </w:rPr>
        <w:t>（二）现场竞答。</w:t>
      </w:r>
      <w: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lang w:val="en-US" w:eastAsia="zh-CN"/>
        </w:rPr>
        <w:t>题型和形式个人赛之后另行通知。</w:t>
      </w:r>
    </w:p>
    <w:p w14:paraId="7DD0E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黑体" w:hAnsi="黑体" w:eastAsia="黑体" w:cs="黑体"/>
          <w:spacing w:val="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1"/>
          <w:sz w:val="32"/>
          <w:szCs w:val="32"/>
          <w:lang w:eastAsia="zh-CN"/>
        </w:rPr>
        <w:t>三、参考学习内容</w:t>
      </w:r>
    </w:p>
    <w:p w14:paraId="1F4A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  <w:lang w:val="en-US" w:eastAsia="zh-CN"/>
        </w:rPr>
        <w:t>（一）理论学习</w:t>
      </w:r>
    </w:p>
    <w:p w14:paraId="36D0A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cs="仿宋_GB2312"/>
          <w:spacing w:val="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1.党的二十大和二十届历次全会精神</w:t>
      </w:r>
    </w:p>
    <w:p w14:paraId="452AA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</w:rPr>
      </w:pPr>
      <w:r>
        <w:rPr>
          <w:rFonts w:hint="eastAsia" w:ascii="仿宋_GB2312" w:hAnsi="仿宋_GB2312" w:cs="仿宋_GB2312"/>
          <w:spacing w:val="11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《习近平新时代中国特色社会主义思想专题摘编》</w:t>
      </w:r>
    </w:p>
    <w:p w14:paraId="7313E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</w:rPr>
      </w:pPr>
      <w:r>
        <w:rPr>
          <w:rFonts w:hint="eastAsia" w:ascii="仿宋_GB2312" w:hAnsi="仿宋_GB2312" w:cs="仿宋_GB2312"/>
          <w:spacing w:val="11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.《习近平谈治国理政》（第五卷）</w:t>
      </w:r>
    </w:p>
    <w:p w14:paraId="70E92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</w:rPr>
      </w:pPr>
      <w:r>
        <w:rPr>
          <w:rFonts w:hint="eastAsia" w:ascii="仿宋_GB2312" w:hAnsi="仿宋_GB2312" w:cs="仿宋_GB2312"/>
          <w:spacing w:val="1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.《习近平党建文选》（第一卷、第二卷）</w:t>
      </w:r>
    </w:p>
    <w:p w14:paraId="0E6D7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</w:rPr>
      </w:pPr>
      <w:r>
        <w:rPr>
          <w:rFonts w:hint="eastAsia" w:ascii="仿宋_GB2312" w:hAnsi="仿宋_GB2312" w:cs="仿宋_GB2312"/>
          <w:spacing w:val="11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.《习近平关于树立和践行正确政绩观论述摘编》</w:t>
      </w:r>
    </w:p>
    <w:p w14:paraId="5C449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</w:rPr>
      </w:pPr>
      <w:r>
        <w:rPr>
          <w:rFonts w:hint="eastAsia" w:ascii="仿宋_GB2312" w:hAnsi="仿宋_GB2312" w:cs="仿宋_GB2312"/>
          <w:spacing w:val="11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.《习近平关于全面加强党的纪律建设论述摘编》</w:t>
      </w:r>
    </w:p>
    <w:p w14:paraId="0CD19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pacing w:val="11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lang w:val="en-US" w:eastAsia="zh-CN"/>
        </w:rPr>
        <w:t>.习近平总书记来闽重要讲话精神</w:t>
      </w:r>
    </w:p>
    <w:p w14:paraId="677D3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pacing w:val="11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.福建省第十一次党代会及其历次全会精神</w:t>
      </w:r>
    </w:p>
    <w:p w14:paraId="5AAD8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  <w:lang w:val="en-US" w:eastAsia="zh-CN"/>
        </w:rPr>
        <w:t>（二）群众工作</w:t>
      </w:r>
    </w:p>
    <w:p w14:paraId="7E995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1.《习近平关于调查研究论述摘编》</w:t>
      </w:r>
    </w:p>
    <w:p w14:paraId="3A99E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2.《论群众路线——重要论述摘编》</w:t>
      </w:r>
    </w:p>
    <w:p w14:paraId="35B11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3.《习近平关于基层工作方法论述摘编》</w:t>
      </w:r>
    </w:p>
    <w:p w14:paraId="74220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4.《习近平关于基层工作方法的重要论述学习读本》</w:t>
      </w:r>
    </w:p>
    <w:p w14:paraId="3CA8D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5.《习近平关于基层治理论述摘编》</w:t>
      </w:r>
    </w:p>
    <w:p w14:paraId="3CCF5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6.《整治形式主义为基层减负若干规定》</w:t>
      </w:r>
    </w:p>
    <w:p w14:paraId="70B6B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7.《中共福建省委关于推进领导干部“四下基层”工作的意见》</w:t>
      </w:r>
    </w:p>
    <w:p w14:paraId="3D3EE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  <w:highlight w:val="none"/>
          <w:lang w:val="en-US" w:eastAsia="zh-CN"/>
        </w:rPr>
        <w:t>（三）党内法规及国家法律</w:t>
      </w:r>
    </w:p>
    <w:p w14:paraId="39026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cs="仿宋_GB2312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pacing w:val="11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highlight w:val="none"/>
          <w:lang w:eastAsia="zh-CN"/>
        </w:rPr>
        <w:t>共产党员网（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highlight w:val="none"/>
          <w:lang w:val="en-US" w:eastAsia="zh-CN"/>
        </w:rPr>
        <w:t>www.12371.cn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highlight w:val="none"/>
          <w:lang w:eastAsia="zh-CN"/>
        </w:rPr>
        <w:t>）“党章党规”栏目所列常用党内法规</w:t>
      </w:r>
      <w:r>
        <w:rPr>
          <w:rFonts w:hint="eastAsia" w:ascii="仿宋_GB2312" w:hAnsi="仿宋_GB2312" w:cs="仿宋_GB2312"/>
          <w:spacing w:val="11"/>
          <w:sz w:val="32"/>
          <w:szCs w:val="32"/>
          <w:highlight w:val="none"/>
          <w:lang w:eastAsia="zh-CN"/>
        </w:rPr>
        <w:t>；</w:t>
      </w:r>
    </w:p>
    <w:p w14:paraId="08592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highlight w:val="none"/>
          <w:lang w:eastAsia="zh-CN"/>
        </w:rPr>
        <w:t>《关于建立领导干部应知应会党内法规和国家法律清单制度的意见》</w:t>
      </w:r>
      <w:r>
        <w:rPr>
          <w:rFonts w:hint="eastAsia" w:ascii="仿宋_GB2312" w:hAnsi="仿宋_GB2312" w:cs="仿宋_GB2312"/>
          <w:spacing w:val="11"/>
          <w:sz w:val="32"/>
          <w:szCs w:val="32"/>
          <w:highlight w:val="none"/>
          <w:lang w:val="en-US" w:eastAsia="zh-CN"/>
        </w:rPr>
        <w:t>所列的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highlight w:val="none"/>
          <w:lang w:eastAsia="zh-CN"/>
        </w:rPr>
        <w:t>党内法规和国家法律</w:t>
      </w:r>
      <w:r>
        <w:rPr>
          <w:rFonts w:hint="eastAsia" w:ascii="仿宋_GB2312" w:hAnsi="仿宋_GB2312" w:cs="仿宋_GB2312"/>
          <w:spacing w:val="11"/>
          <w:sz w:val="32"/>
          <w:szCs w:val="32"/>
          <w:highlight w:val="none"/>
          <w:lang w:eastAsia="zh-CN"/>
        </w:rPr>
        <w:t>。</w:t>
      </w:r>
    </w:p>
    <w:p w14:paraId="213688F4">
      <w:pPr>
        <w:autoSpaceDE w:val="0"/>
        <w:spacing w:line="600" w:lineRule="exact"/>
        <w:ind w:firstLine="616" w:firstLineChars="200"/>
        <w:rPr>
          <w:rFonts w:hint="eastAsia" w:ascii="仿宋_GB2312" w:hAnsi="仿宋_GB2312" w:cs="仿宋_GB2312"/>
          <w:sz w:val="32"/>
          <w:szCs w:val="32"/>
          <w:lang w:val="en-US" w:eastAsia="zh-CN"/>
        </w:rPr>
      </w:pPr>
    </w:p>
    <w:p w14:paraId="0D6FDB13"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0000600000000000000"/>
    <w:charset w:val="86"/>
    <w:family w:val="auto"/>
    <w:pitch w:val="default"/>
    <w:sig w:usb0="00000000" w:usb1="00000000" w:usb2="00000012" w:usb3="00000000" w:csb0="00160001" w:csb1="1203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F2FB4"/>
    <w:rsid w:val="626F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2026-08-13T01:30:00Z</dcterms:created>
  <dc:creator>七夕</dc:creator>
  <cp:lastModifiedBy>七夕</cp:lastModifiedBy>
  <dcterms:modified xsi:type="dcterms:W3CDTF">2026-08-13T01:30:45Z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528EE5332EDD4FD99529885BE9CF8DE4_11</vt:lpwstr>
  </property>
  <property fmtid="{D5CDD505-2E9C-101B-9397-08002B2CF9AE}" pid="4" name="KSOTemplateDocerSaveRecord">
    <vt:lpwstr>eyJoZGlkIjoiYzMzOTRmNjNkMmU1YjgwMjY0MzZiZmQxNDA1NWYwMzIiLCJ1c2VySWQiOiIyOTA3NjI1NDMifQ==</vt:lpwstr>
  </property>
</Properties>
</file>