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200"/>
        </w:tabs>
        <w:rPr>
          <w:rFonts w:hint="eastAsia"/>
          <w:b/>
          <w:sz w:val="44"/>
        </w:rPr>
      </w:pPr>
      <w:r>
        <w:rPr>
          <w:rFonts w:hint="eastAsia" w:ascii="黑体" w:hAnsi="黑体" w:eastAsia="黑体"/>
          <w:b w:val="0"/>
          <w:sz w:val="32"/>
        </w:rPr>
        <w:t>附件2</w:t>
      </w:r>
      <w:r>
        <w:rPr>
          <w:rFonts w:hint="eastAsia" w:ascii="仿宋_GB2312" w:hAnsi="仿宋_GB2312" w:eastAsia="仿宋_GB2312"/>
          <w:b/>
          <w:sz w:val="32"/>
        </w:rPr>
        <w:t xml:space="preserve"> </w:t>
      </w:r>
      <w:r>
        <w:rPr>
          <w:rFonts w:hint="eastAsia" w:ascii="黑体" w:eastAsia="黑体"/>
          <w:sz w:val="36"/>
        </w:rPr>
        <w:t xml:space="preserve">              </w:t>
      </w:r>
      <w:r>
        <w:rPr>
          <w:rFonts w:hint="eastAsia"/>
          <w:b/>
          <w:sz w:val="44"/>
        </w:rPr>
        <w:t xml:space="preserve"> </w:t>
      </w:r>
    </w:p>
    <w:p>
      <w:pPr>
        <w:pStyle w:val="5"/>
        <w:tabs>
          <w:tab w:val="left" w:pos="7200"/>
        </w:tabs>
        <w:ind w:left="0" w:leftChars="0" w:right="0" w:firstLine="0" w:firstLineChars="0"/>
        <w:jc w:val="center"/>
        <w:rPr>
          <w:rFonts w:hint="eastAsia" w:ascii="黑体" w:eastAsia="黑体"/>
          <w:sz w:val="36"/>
        </w:rPr>
      </w:pPr>
      <w:r>
        <w:rPr>
          <w:rFonts w:hint="eastAsia"/>
          <w:b/>
          <w:sz w:val="44"/>
        </w:rPr>
        <w:t>工会职业病防治工作考核评分标准</w:t>
      </w:r>
    </w:p>
    <w:tbl>
      <w:tblPr>
        <w:tblStyle w:val="4"/>
        <w:tblpPr w:leftFromText="180" w:rightFromText="180" w:vertAnchor="text" w:horzAnchor="page" w:tblpX="1399" w:tblpY="20"/>
        <w:tblOverlap w:val="never"/>
        <w:tblW w:w="13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960"/>
        <w:gridCol w:w="5580"/>
        <w:gridCol w:w="531"/>
        <w:gridCol w:w="540"/>
        <w:gridCol w:w="46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08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w:t>
            </w:r>
          </w:p>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分类</w:t>
            </w:r>
          </w:p>
        </w:tc>
        <w:tc>
          <w:tcPr>
            <w:tcW w:w="396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  核  内  容</w:t>
            </w:r>
          </w:p>
        </w:tc>
        <w:tc>
          <w:tcPr>
            <w:tcW w:w="558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考核方法及评分细则</w:t>
            </w:r>
          </w:p>
        </w:tc>
        <w:tc>
          <w:tcPr>
            <w:tcW w:w="531"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分</w:t>
            </w:r>
          </w:p>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值</w:t>
            </w:r>
          </w:p>
        </w:tc>
        <w:tc>
          <w:tcPr>
            <w:tcW w:w="54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自评</w:t>
            </w:r>
          </w:p>
        </w:tc>
        <w:tc>
          <w:tcPr>
            <w:tcW w:w="463"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考评</w:t>
            </w:r>
          </w:p>
        </w:tc>
        <w:tc>
          <w:tcPr>
            <w:tcW w:w="1378"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080" w:type="dxa"/>
            <w:vMerge w:val="restart"/>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组织</w:t>
            </w:r>
          </w:p>
          <w:p>
            <w:pPr>
              <w:pStyle w:val="5"/>
              <w:snapToGrid w:val="0"/>
              <w:jc w:val="center"/>
              <w:rPr>
                <w:rFonts w:hint="eastAsia" w:ascii="仿宋_GB2312" w:hAnsi="仿宋_GB2312" w:eastAsia="仿宋_GB2312"/>
              </w:rPr>
            </w:pPr>
            <w:r>
              <w:rPr>
                <w:rFonts w:hint="eastAsia" w:ascii="仿宋_GB2312" w:hAnsi="仿宋_GB2312" w:eastAsia="仿宋_GB2312"/>
              </w:rPr>
              <w:t>机构</w:t>
            </w:r>
          </w:p>
          <w:p>
            <w:pPr>
              <w:pStyle w:val="5"/>
              <w:snapToGrid w:val="0"/>
              <w:jc w:val="center"/>
              <w:rPr>
                <w:rFonts w:hint="eastAsia" w:ascii="仿宋_GB2312" w:hAnsi="仿宋_GB2312" w:eastAsia="仿宋_GB2312"/>
              </w:rPr>
            </w:pPr>
            <w:r>
              <w:rPr>
                <w:rFonts w:hint="eastAsia" w:ascii="仿宋_GB2312" w:hAnsi="仿宋_GB2312" w:eastAsia="仿宋_GB2312"/>
              </w:rPr>
              <w:t>与</w:t>
            </w:r>
          </w:p>
          <w:p>
            <w:pPr>
              <w:pStyle w:val="5"/>
              <w:snapToGrid w:val="0"/>
              <w:jc w:val="center"/>
              <w:rPr>
                <w:rFonts w:hint="eastAsia" w:ascii="仿宋_GB2312" w:hAnsi="仿宋_GB2312" w:eastAsia="仿宋_GB2312"/>
              </w:rPr>
            </w:pPr>
            <w:r>
              <w:rPr>
                <w:rFonts w:hint="eastAsia" w:ascii="仿宋_GB2312" w:hAnsi="仿宋_GB2312" w:eastAsia="仿宋_GB2312"/>
              </w:rPr>
              <w:t>规章</w:t>
            </w:r>
          </w:p>
          <w:p>
            <w:pPr>
              <w:pStyle w:val="5"/>
              <w:snapToGrid w:val="0"/>
              <w:jc w:val="center"/>
              <w:rPr>
                <w:rFonts w:hint="eastAsia" w:ascii="仿宋_GB2312" w:hAnsi="仿宋_GB2312" w:eastAsia="仿宋_GB2312"/>
              </w:rPr>
            </w:pPr>
            <w:r>
              <w:rPr>
                <w:rFonts w:hint="eastAsia" w:ascii="仿宋_GB2312" w:hAnsi="仿宋_GB2312" w:eastAsia="仿宋_GB2312"/>
              </w:rPr>
              <w:t>制度</w:t>
            </w:r>
          </w:p>
          <w:p>
            <w:pPr>
              <w:pStyle w:val="5"/>
              <w:snapToGrid w:val="0"/>
              <w:jc w:val="center"/>
              <w:rPr>
                <w:rFonts w:hint="eastAsia" w:ascii="仿宋_GB2312" w:hAnsi="仿宋_GB2312" w:eastAsia="仿宋_GB2312"/>
              </w:rPr>
            </w:pPr>
            <w:r>
              <w:rPr>
                <w:rFonts w:hint="eastAsia" w:ascii="仿宋_GB2312" w:hAnsi="仿宋_GB2312" w:eastAsia="仿宋_GB2312"/>
              </w:rPr>
              <w:t>（15分）</w:t>
            </w: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1、设立工会劳动保护监督检查委员会，配备专(兼)职工作人员。</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查劳动保护监督检查委员会成立文件、人员职责分工文件。缺一项扣2分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2、建立完善工会监督检查、重大事故隐患和职业危害建档跟踪、群众举报等制度，建立工会劳动保护工作责任制。</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查制度书面文件。缺一项扣1分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3、制定工作计划，并按计划组织实施；签订《职业病防治专项集体合同》。</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查书面工作计划，查相关会议纪要和工作记录。缺一项扣2分，扣完为止。</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4、工会参与职业病防治工作情况。</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未制定职业健康规章制度、操作规程不得分，制定过程中未听取工会意见不得分。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5、建立工作完成情况兑现奖惩制度并付诸实施。</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查年度工作总结和奖惩兑现情况资料。缺一项扣1分。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trPr>
        <w:tc>
          <w:tcPr>
            <w:tcW w:w="1080" w:type="dxa"/>
            <w:vMerge w:val="restart"/>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培训</w:t>
            </w:r>
          </w:p>
          <w:p>
            <w:pPr>
              <w:pStyle w:val="5"/>
              <w:snapToGrid w:val="0"/>
              <w:jc w:val="center"/>
              <w:rPr>
                <w:rFonts w:hint="eastAsia" w:ascii="仿宋_GB2312" w:hAnsi="仿宋_GB2312" w:eastAsia="仿宋_GB2312"/>
              </w:rPr>
            </w:pPr>
            <w:r>
              <w:rPr>
                <w:rFonts w:hint="eastAsia" w:ascii="仿宋_GB2312" w:hAnsi="仿宋_GB2312" w:eastAsia="仿宋_GB2312"/>
              </w:rPr>
              <w:t>与</w:t>
            </w:r>
          </w:p>
          <w:p>
            <w:pPr>
              <w:pStyle w:val="5"/>
              <w:snapToGrid w:val="0"/>
              <w:jc w:val="center"/>
              <w:rPr>
                <w:rFonts w:hint="eastAsia" w:ascii="仿宋_GB2312" w:hAnsi="仿宋_GB2312" w:eastAsia="仿宋_GB2312"/>
              </w:rPr>
            </w:pPr>
            <w:r>
              <w:rPr>
                <w:rFonts w:hint="eastAsia" w:ascii="仿宋_GB2312" w:hAnsi="仿宋_GB2312" w:eastAsia="仿宋_GB2312"/>
              </w:rPr>
              <w:t>告知</w:t>
            </w:r>
          </w:p>
          <w:p>
            <w:pPr>
              <w:pStyle w:val="5"/>
              <w:snapToGrid w:val="0"/>
              <w:jc w:val="center"/>
              <w:rPr>
                <w:rFonts w:hint="eastAsia" w:ascii="仿宋_GB2312" w:hAnsi="仿宋_GB2312" w:eastAsia="仿宋_GB2312"/>
              </w:rPr>
            </w:pPr>
            <w:r>
              <w:rPr>
                <w:rFonts w:hint="eastAsia" w:ascii="仿宋_GB2312" w:hAnsi="仿宋_GB2312" w:eastAsia="仿宋_GB2312"/>
              </w:rPr>
              <w:t>（15分）</w:t>
            </w: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6、制定员工职业病防治培训计划并组织落实。</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查书面培训计划，查员工职业病防治培训内容、记录。缺一项扣2分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7、接触职业危害员工的劳动合同载明可能产生的职业危害及其后果并履行告知义务。</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查劳动合同（职业病防治专项集体合同）相关条款，抽查现场人员，缺一项扣1分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8、在危害作业现场醒目位置公布有关职业病防治的规章制度、操作规程、应急措施等。</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查现场公告内容。缺一项扣2分，扣完为止。</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9、可能产生职业危害的设备、材料和原料设置醒目的警示标识和中文说明书。</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查现场公告内容。缺一项扣2分，扣完为止。</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10、对患职业病或存在职业禁忌症的劳动者应告知本人。</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查健康检查结果，抽查现场人员，缺一人扣2分，扣完为止。</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08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w:t>
            </w:r>
          </w:p>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分类</w:t>
            </w:r>
          </w:p>
        </w:tc>
        <w:tc>
          <w:tcPr>
            <w:tcW w:w="396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  核  内  容</w:t>
            </w:r>
          </w:p>
        </w:tc>
        <w:tc>
          <w:tcPr>
            <w:tcW w:w="558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考核方法及评分细则</w:t>
            </w:r>
          </w:p>
        </w:tc>
        <w:tc>
          <w:tcPr>
            <w:tcW w:w="531"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分</w:t>
            </w:r>
          </w:p>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值</w:t>
            </w:r>
          </w:p>
        </w:tc>
        <w:tc>
          <w:tcPr>
            <w:tcW w:w="54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自评</w:t>
            </w:r>
          </w:p>
        </w:tc>
        <w:tc>
          <w:tcPr>
            <w:tcW w:w="463"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考评</w:t>
            </w:r>
          </w:p>
        </w:tc>
        <w:tc>
          <w:tcPr>
            <w:tcW w:w="1378"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1080" w:type="dxa"/>
            <w:vMerge w:val="restart"/>
            <w:noWrap w:val="0"/>
            <w:vAlign w:val="center"/>
          </w:tcPr>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snapToGrid w:val="0"/>
                <w:spacing w:val="-20"/>
                <w:kern w:val="0"/>
              </w:rPr>
              <w:t>职业</w:t>
            </w:r>
          </w:p>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snapToGrid w:val="0"/>
                <w:spacing w:val="-20"/>
                <w:kern w:val="0"/>
              </w:rPr>
              <w:t>健康</w:t>
            </w:r>
          </w:p>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snapToGrid w:val="0"/>
                <w:spacing w:val="-20"/>
                <w:kern w:val="0"/>
              </w:rPr>
              <w:t>检查</w:t>
            </w:r>
          </w:p>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snapToGrid w:val="0"/>
                <w:spacing w:val="-20"/>
                <w:kern w:val="0"/>
              </w:rPr>
              <w:t>与</w:t>
            </w:r>
          </w:p>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snapToGrid w:val="0"/>
                <w:spacing w:val="-20"/>
                <w:kern w:val="0"/>
              </w:rPr>
              <w:t>档案</w:t>
            </w:r>
          </w:p>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snapToGrid w:val="0"/>
                <w:spacing w:val="-20"/>
                <w:kern w:val="0"/>
              </w:rPr>
              <w:t>管理</w:t>
            </w:r>
          </w:p>
          <w:p>
            <w:pPr>
              <w:pStyle w:val="5"/>
              <w:snapToGrid w:val="0"/>
              <w:jc w:val="center"/>
              <w:rPr>
                <w:rFonts w:hint="eastAsia" w:ascii="仿宋_GB2312" w:hAnsi="仿宋_GB2312" w:eastAsia="仿宋_GB2312"/>
                <w:snapToGrid w:val="0"/>
                <w:spacing w:val="-20"/>
                <w:kern w:val="0"/>
              </w:rPr>
            </w:pPr>
            <w:r>
              <w:rPr>
                <w:rFonts w:hint="eastAsia" w:ascii="仿宋_GB2312" w:hAnsi="仿宋_GB2312" w:eastAsia="仿宋_GB2312"/>
              </w:rPr>
              <w:t>（40分）</w:t>
            </w: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11、制定员工职业健康体检计划并落实相关经费。</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查年度体检计划和经费批示文件材料。缺一项扣2分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12、组织接触职业危害的员工进行岗前、岗中和离岗职业健康体检，有计划、安排，有体检结果及评价。</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查体检计划、安排书面材料，查体检结果、个人体检评价及医疗机构体检报告书，缺一项扣1分。未按岗前、岗中和离岗进行健康体检阶段划分的扣1分，体检率每低5%扣1分。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13、用人单位为劳动者办理工伤保险。</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检查工伤保险参保登记资料，现场抽查部分劳动者核实参保情况。</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14、未进行离岗职业健康检查，不得解除或者终止劳动合同。</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检查离岗劳动者名册、职业健康档案、劳动合同。出现违规每人次扣1分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15、建立接触职业危害员工职业健康监护档案（单位总档、员工一人一档）。</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（档案的具体内容见备注）未建立单位总档扣2分，档案内容不健全扣2分，建档率每低5个百分点扣1分。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16、职业健康体检机构应具备相应的资质，职业健康体检费用由用人单位承担</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spacing w:val="8"/>
              </w:rPr>
              <w:t>职业健康体检机构不具备资质不得分，费用由职工承担不得分。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17、禁止有职业禁忌证的劳动者从事其所禁忌的作业，对疑似职业病病人，按照职业健康检查机构的建议安排其进行医学观察或者职业病诊断。</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spacing w:val="10"/>
              </w:rPr>
              <w:t>查职业健康档案及调离、安置记录。出现违规每人次扣1分。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18、安排职业病病人进行治疗、定期检查、康复。</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对照职业病病人名单，检查病人治疗、定期检查、康复记录。未按规定每人次扣1分。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19、如实、无偿为劳动者提供职业健康监护档案复印件。</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用人单位有义务在劳动者离岗时提供职业健康监护档案复印件，并在所提供的复印件上签章，不得弄虚作假，不得向劳动者收取任何费用。缺一项扣2分。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1080" w:type="dxa"/>
            <w:vMerge w:val="continue"/>
            <w:noWrap w:val="0"/>
            <w:vAlign w:val="center"/>
          </w:tcPr>
          <w:p>
            <w:pPr>
              <w:pStyle w:val="5"/>
              <w:snapToGrid w:val="0"/>
              <w:jc w:val="center"/>
              <w:rPr>
                <w:rFonts w:hint="eastAsia" w:ascii="仿宋_GB2312" w:hAnsi="仿宋_GB2312" w:eastAsia="仿宋_GB2312"/>
                <w:snapToGrid w:val="0"/>
                <w:spacing w:val="-20"/>
                <w:kern w:val="0"/>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20、女职工特殊劳动保护政策落实情况。</w:t>
            </w:r>
          </w:p>
        </w:tc>
        <w:tc>
          <w:tcPr>
            <w:tcW w:w="5580" w:type="dxa"/>
            <w:noWrap w:val="0"/>
            <w:vAlign w:val="center"/>
          </w:tcPr>
          <w:p>
            <w:pPr>
              <w:pStyle w:val="5"/>
              <w:snapToGrid w:val="0"/>
              <w:rPr>
                <w:rFonts w:hint="eastAsia" w:ascii="仿宋_GB2312" w:hAnsi="仿宋_GB2312" w:eastAsia="仿宋_GB2312"/>
                <w:spacing w:val="8"/>
              </w:rPr>
            </w:pPr>
            <w:r>
              <w:rPr>
                <w:rFonts w:hint="eastAsia" w:ascii="仿宋_GB2312" w:hAnsi="仿宋_GB2312" w:eastAsia="仿宋_GB2312"/>
                <w:spacing w:val="8"/>
              </w:rPr>
              <w:t>按照《女职工特殊劳动保护条例》进行核对，发现一项扣2分。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8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w:t>
            </w:r>
          </w:p>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分类</w:t>
            </w:r>
          </w:p>
        </w:tc>
        <w:tc>
          <w:tcPr>
            <w:tcW w:w="396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  核  内  容</w:t>
            </w:r>
          </w:p>
        </w:tc>
        <w:tc>
          <w:tcPr>
            <w:tcW w:w="5580"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考核方法及评分细则</w:t>
            </w:r>
          </w:p>
        </w:tc>
        <w:tc>
          <w:tcPr>
            <w:tcW w:w="531"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分</w:t>
            </w:r>
          </w:p>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值</w:t>
            </w:r>
          </w:p>
        </w:tc>
        <w:tc>
          <w:tcPr>
            <w:tcW w:w="540" w:type="dxa"/>
            <w:noWrap w:val="0"/>
            <w:vAlign w:val="center"/>
          </w:tcPr>
          <w:p>
            <w:pPr>
              <w:pStyle w:val="5"/>
              <w:spacing w:line="260" w:lineRule="exact"/>
              <w:jc w:val="center"/>
              <w:rPr>
                <w:rFonts w:hint="eastAsia" w:ascii="仿宋_GB2312" w:hAnsi="仿宋_GB2312" w:eastAsia="仿宋_GB2312"/>
                <w:b/>
                <w:sz w:val="24"/>
                <w:lang w:val="en-US" w:eastAsia="zh-CN"/>
              </w:rPr>
            </w:pPr>
            <w:r>
              <w:rPr>
                <w:rFonts w:hint="eastAsia" w:ascii="仿宋_GB2312" w:hAnsi="仿宋_GB2312" w:eastAsia="仿宋_GB2312"/>
                <w:b/>
                <w:sz w:val="24"/>
                <w:lang w:val="en-US" w:eastAsia="zh-CN"/>
              </w:rPr>
              <w:t>自评</w:t>
            </w:r>
          </w:p>
        </w:tc>
        <w:tc>
          <w:tcPr>
            <w:tcW w:w="463" w:type="dxa"/>
            <w:noWrap w:val="0"/>
            <w:vAlign w:val="center"/>
          </w:tcPr>
          <w:p>
            <w:pPr>
              <w:pStyle w:val="5"/>
              <w:spacing w:line="260" w:lineRule="exact"/>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考评</w:t>
            </w:r>
          </w:p>
        </w:tc>
        <w:tc>
          <w:tcPr>
            <w:tcW w:w="1378" w:type="dxa"/>
            <w:noWrap w:val="0"/>
            <w:vAlign w:val="center"/>
          </w:tcPr>
          <w:p>
            <w:pPr>
              <w:pStyle w:val="5"/>
              <w:spacing w:line="260" w:lineRule="exact"/>
              <w:jc w:val="center"/>
              <w:rPr>
                <w:rFonts w:hint="eastAsia" w:ascii="仿宋_GB2312" w:hAnsi="仿宋_GB2312" w:eastAsia="仿宋_GB2312"/>
                <w:b/>
                <w:sz w:val="24"/>
              </w:rPr>
            </w:pPr>
            <w:r>
              <w:rPr>
                <w:rFonts w:hint="eastAsia" w:ascii="仿宋_GB2312" w:hAnsi="仿宋_GB2312" w:eastAsia="仿宋_GB2312"/>
                <w:b/>
                <w:sz w:val="24"/>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80" w:type="dxa"/>
            <w:vMerge w:val="restart"/>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危害</w:t>
            </w:r>
          </w:p>
          <w:p>
            <w:pPr>
              <w:pStyle w:val="5"/>
              <w:snapToGrid w:val="0"/>
              <w:jc w:val="center"/>
              <w:rPr>
                <w:rFonts w:hint="eastAsia" w:ascii="仿宋_GB2312" w:hAnsi="仿宋_GB2312" w:eastAsia="仿宋_GB2312"/>
              </w:rPr>
            </w:pPr>
            <w:r>
              <w:rPr>
                <w:rFonts w:hint="eastAsia" w:ascii="仿宋_GB2312" w:hAnsi="仿宋_GB2312" w:eastAsia="仿宋_GB2312"/>
              </w:rPr>
              <w:t>控制</w:t>
            </w:r>
          </w:p>
          <w:p>
            <w:pPr>
              <w:pStyle w:val="5"/>
              <w:snapToGrid w:val="0"/>
              <w:jc w:val="center"/>
              <w:rPr>
                <w:rFonts w:hint="eastAsia" w:ascii="仿宋_GB2312" w:hAnsi="仿宋_GB2312" w:eastAsia="仿宋_GB2312"/>
              </w:rPr>
            </w:pPr>
            <w:r>
              <w:rPr>
                <w:rFonts w:hint="eastAsia" w:ascii="仿宋_GB2312" w:hAnsi="仿宋_GB2312" w:eastAsia="仿宋_GB2312"/>
              </w:rPr>
              <w:t>与</w:t>
            </w:r>
          </w:p>
          <w:p>
            <w:pPr>
              <w:pStyle w:val="5"/>
              <w:snapToGrid w:val="0"/>
              <w:jc w:val="center"/>
              <w:rPr>
                <w:rFonts w:hint="eastAsia" w:ascii="仿宋_GB2312" w:hAnsi="仿宋_GB2312" w:eastAsia="仿宋_GB2312"/>
              </w:rPr>
            </w:pPr>
            <w:r>
              <w:rPr>
                <w:rFonts w:hint="eastAsia" w:ascii="仿宋_GB2312" w:hAnsi="仿宋_GB2312" w:eastAsia="仿宋_GB2312"/>
              </w:rPr>
              <w:t>现场</w:t>
            </w:r>
          </w:p>
          <w:p>
            <w:pPr>
              <w:pStyle w:val="5"/>
              <w:snapToGrid w:val="0"/>
              <w:jc w:val="center"/>
              <w:rPr>
                <w:rFonts w:hint="eastAsia" w:ascii="仿宋_GB2312" w:hAnsi="仿宋_GB2312" w:eastAsia="仿宋_GB2312"/>
              </w:rPr>
            </w:pPr>
            <w:r>
              <w:rPr>
                <w:rFonts w:hint="eastAsia" w:ascii="仿宋_GB2312" w:hAnsi="仿宋_GB2312" w:eastAsia="仿宋_GB2312"/>
              </w:rPr>
              <w:t>管理</w:t>
            </w:r>
          </w:p>
          <w:p>
            <w:pPr>
              <w:pStyle w:val="5"/>
              <w:snapToGrid w:val="0"/>
              <w:jc w:val="center"/>
              <w:rPr>
                <w:rFonts w:hint="eastAsia" w:ascii="仿宋_GB2312" w:hAnsi="仿宋_GB2312" w:eastAsia="仿宋_GB2312"/>
              </w:rPr>
            </w:pPr>
            <w:r>
              <w:rPr>
                <w:rFonts w:hint="eastAsia" w:ascii="仿宋_GB2312" w:hAnsi="仿宋_GB2312" w:eastAsia="仿宋_GB2312"/>
              </w:rPr>
              <w:t>（30分）</w:t>
            </w: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21、建立职业危害管理档案。</w:t>
            </w:r>
          </w:p>
        </w:tc>
        <w:tc>
          <w:tcPr>
            <w:tcW w:w="5580" w:type="dxa"/>
            <w:noWrap w:val="0"/>
            <w:vAlign w:val="center"/>
          </w:tcPr>
          <w:p>
            <w:pPr>
              <w:pStyle w:val="5"/>
              <w:rPr>
                <w:rFonts w:hint="eastAsia" w:ascii="仿宋_GB2312" w:hAnsi="仿宋_GB2312" w:eastAsia="仿宋_GB2312"/>
              </w:rPr>
            </w:pPr>
            <w:r>
              <w:rPr>
                <w:rFonts w:hint="eastAsia" w:ascii="仿宋_GB2312" w:hAnsi="仿宋_GB2312" w:eastAsia="仿宋_GB2312"/>
              </w:rPr>
              <w:t>查相关档案。应包括危害因素种类、项目点分布情况、接触职业危害人员情况、危害防护设施投入情况、监测及评估情况等，缺一项扣1分。</w:t>
            </w:r>
          </w:p>
        </w:tc>
        <w:tc>
          <w:tcPr>
            <w:tcW w:w="531" w:type="dxa"/>
            <w:noWrap w:val="0"/>
            <w:vAlign w:val="center"/>
          </w:tcPr>
          <w:p>
            <w:pPr>
              <w:pStyle w:val="5"/>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rPr>
                <w:rFonts w:hint="eastAsia" w:ascii="仿宋_GB2312" w:hAnsi="仿宋_GB2312" w:eastAsia="仿宋_GB2312"/>
              </w:rPr>
            </w:pPr>
          </w:p>
        </w:tc>
        <w:tc>
          <w:tcPr>
            <w:tcW w:w="463" w:type="dxa"/>
            <w:noWrap w:val="0"/>
            <w:vAlign w:val="center"/>
          </w:tcPr>
          <w:p>
            <w:pPr>
              <w:pStyle w:val="5"/>
              <w:rPr>
                <w:rFonts w:hint="eastAsia" w:ascii="仿宋_GB2312" w:hAnsi="仿宋_GB2312" w:eastAsia="仿宋_GB2312"/>
              </w:rPr>
            </w:pPr>
          </w:p>
        </w:tc>
        <w:tc>
          <w:tcPr>
            <w:tcW w:w="1378" w:type="dxa"/>
            <w:noWrap w:val="0"/>
            <w:vAlign w:val="center"/>
          </w:tcPr>
          <w:p>
            <w:pPr>
              <w:pStyle w:val="5"/>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22、及时、如实向所在地卫生行政部门申报职业病危害项目。</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查职业病危害项目申报材料。未申报不得分，申报材料不完整每缺一项扣1分。（申报材料应包括工作场所职业病危害因素种类、分布情况以及接触人数等）。</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23、建立并落实“一法三卡”工作机制。</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“事故隐患和职业危害监控法”、 “安全检查提示卡”、“有毒有害化学物质信息卡”、 “危险源点警示卡”中少一项扣1分。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24、劳动防护用品齐全、合格，并按要求使用。</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查防护用品发放记录，无相关记录扣2分；作业人员未按要求使用每人次扣1分。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25、企业重大隐患治理情况向负有安全监管职责的部门和企业职代会“双报告”。</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查相关档案，未做到“双报告”不得分。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26、生产流程、布局合理，职业危害因素的强度或浓度符合国家职业卫生标准。</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 xml:space="preserve">生产布局合理，符合有害与无害作业分开的原则。                                                                </w:t>
            </w:r>
          </w:p>
          <w:p>
            <w:pPr>
              <w:pStyle w:val="5"/>
              <w:snapToGrid w:val="0"/>
              <w:rPr>
                <w:rFonts w:hint="eastAsia" w:ascii="仿宋_GB2312" w:hAnsi="仿宋_GB2312" w:eastAsia="仿宋_GB2312"/>
              </w:rPr>
            </w:pPr>
            <w:r>
              <w:rPr>
                <w:rFonts w:hint="eastAsia" w:ascii="仿宋_GB2312" w:hAnsi="仿宋_GB2312" w:eastAsia="仿宋_GB2312"/>
              </w:rPr>
              <w:t>生产工艺设备布局应重点考虑达到防尘、防毒、防暑、防寒、防噪声与振动、防电离辐射、防非电离辐射等的要求。</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27、可能产生急性职业操作的有毒、有害工作场所，配置冲洗设备、应急撤离通道、泄险区。</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现场查看相关设施情况，缺一项扣1分。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3</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080" w:type="dxa"/>
            <w:vMerge w:val="continue"/>
            <w:noWrap w:val="0"/>
            <w:vAlign w:val="center"/>
          </w:tcPr>
          <w:p>
            <w:pPr>
              <w:pStyle w:val="5"/>
              <w:snapToGrid w:val="0"/>
              <w:jc w:val="center"/>
              <w:rPr>
                <w:rFonts w:hint="eastAsia" w:ascii="仿宋_GB2312" w:hAnsi="仿宋_GB2312" w:eastAsia="仿宋_GB2312"/>
              </w:rPr>
            </w:pPr>
          </w:p>
        </w:tc>
        <w:tc>
          <w:tcPr>
            <w:tcW w:w="396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28、制定事故应急预案并组织应急演练。</w:t>
            </w:r>
          </w:p>
        </w:tc>
        <w:tc>
          <w:tcPr>
            <w:tcW w:w="5580" w:type="dxa"/>
            <w:noWrap w:val="0"/>
            <w:vAlign w:val="center"/>
          </w:tcPr>
          <w:p>
            <w:pPr>
              <w:pStyle w:val="5"/>
              <w:snapToGrid w:val="0"/>
              <w:rPr>
                <w:rFonts w:hint="eastAsia" w:ascii="仿宋_GB2312" w:hAnsi="仿宋_GB2312" w:eastAsia="仿宋_GB2312"/>
              </w:rPr>
            </w:pPr>
            <w:r>
              <w:rPr>
                <w:rFonts w:hint="eastAsia" w:ascii="仿宋_GB2312" w:hAnsi="仿宋_GB2312" w:eastAsia="仿宋_GB2312"/>
              </w:rPr>
              <w:t>查预案书面材料和应急演练记录，缺一项扣2分。</w:t>
            </w: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4</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80"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小计</w:t>
            </w:r>
          </w:p>
        </w:tc>
        <w:tc>
          <w:tcPr>
            <w:tcW w:w="3960" w:type="dxa"/>
            <w:noWrap w:val="0"/>
            <w:vAlign w:val="center"/>
          </w:tcPr>
          <w:p>
            <w:pPr>
              <w:pStyle w:val="5"/>
              <w:snapToGrid w:val="0"/>
              <w:rPr>
                <w:rFonts w:hint="eastAsia" w:ascii="仿宋_GB2312" w:hAnsi="仿宋_GB2312" w:eastAsia="仿宋_GB2312"/>
              </w:rPr>
            </w:pPr>
          </w:p>
        </w:tc>
        <w:tc>
          <w:tcPr>
            <w:tcW w:w="5580" w:type="dxa"/>
            <w:noWrap w:val="0"/>
            <w:vAlign w:val="center"/>
          </w:tcPr>
          <w:p>
            <w:pPr>
              <w:pStyle w:val="5"/>
              <w:snapToGrid w:val="0"/>
              <w:rPr>
                <w:rFonts w:hint="eastAsia" w:ascii="仿宋_GB2312" w:hAnsi="仿宋_GB2312" w:eastAsia="仿宋_GB2312"/>
              </w:rPr>
            </w:pPr>
          </w:p>
        </w:tc>
        <w:tc>
          <w:tcPr>
            <w:tcW w:w="531" w:type="dxa"/>
            <w:noWrap w:val="0"/>
            <w:vAlign w:val="center"/>
          </w:tcPr>
          <w:p>
            <w:pPr>
              <w:pStyle w:val="5"/>
              <w:snapToGrid w:val="0"/>
              <w:jc w:val="center"/>
              <w:rPr>
                <w:rFonts w:hint="eastAsia" w:ascii="仿宋_GB2312" w:hAnsi="仿宋_GB2312" w:eastAsia="仿宋_GB2312"/>
              </w:rPr>
            </w:pPr>
            <w:r>
              <w:rPr>
                <w:rFonts w:hint="eastAsia" w:ascii="仿宋_GB2312" w:hAnsi="仿宋_GB2312" w:eastAsia="仿宋_GB2312"/>
              </w:rPr>
              <w:t>100</w:t>
            </w:r>
          </w:p>
        </w:tc>
        <w:tc>
          <w:tcPr>
            <w:tcW w:w="540" w:type="dxa"/>
            <w:noWrap w:val="0"/>
            <w:vAlign w:val="center"/>
          </w:tcPr>
          <w:p>
            <w:pPr>
              <w:pStyle w:val="5"/>
              <w:snapToGrid w:val="0"/>
              <w:rPr>
                <w:rFonts w:hint="eastAsia" w:ascii="仿宋_GB2312" w:hAnsi="仿宋_GB2312" w:eastAsia="仿宋_GB2312"/>
              </w:rPr>
            </w:pPr>
          </w:p>
        </w:tc>
        <w:tc>
          <w:tcPr>
            <w:tcW w:w="463" w:type="dxa"/>
            <w:noWrap w:val="0"/>
            <w:vAlign w:val="center"/>
          </w:tcPr>
          <w:p>
            <w:pPr>
              <w:pStyle w:val="5"/>
              <w:snapToGrid w:val="0"/>
              <w:rPr>
                <w:rFonts w:hint="eastAsia" w:ascii="仿宋_GB2312" w:hAnsi="仿宋_GB2312" w:eastAsia="仿宋_GB2312"/>
              </w:rPr>
            </w:pPr>
          </w:p>
        </w:tc>
        <w:tc>
          <w:tcPr>
            <w:tcW w:w="1378" w:type="dxa"/>
            <w:noWrap w:val="0"/>
            <w:vAlign w:val="center"/>
          </w:tcPr>
          <w:p>
            <w:pPr>
              <w:pStyle w:val="5"/>
              <w:snapToGrid w:val="0"/>
              <w:rPr>
                <w:rFonts w:hint="eastAsia" w:ascii="仿宋_GB2312" w:hAnsi="仿宋_GB2312" w:eastAsia="仿宋_GB2312"/>
              </w:rPr>
            </w:pPr>
          </w:p>
        </w:tc>
      </w:tr>
    </w:tbl>
    <w:p>
      <w:pPr>
        <w:pStyle w:val="5"/>
        <w:ind w:firstLine="420" w:firstLineChars="200"/>
        <w:rPr>
          <w:rFonts w:hint="eastAsia" w:ascii="仿宋_GB2312" w:hAnsi="仿宋_GB2312" w:eastAsia="仿宋_GB2312"/>
          <w:sz w:val="32"/>
        </w:rPr>
      </w:pPr>
      <w:r>
        <w:rPr>
          <w:rFonts w:hint="eastAsia" w:ascii="仿宋_GB2312" w:hAnsi="仿宋_GB2312" w:eastAsia="仿宋_GB2312"/>
        </w:rPr>
        <w:t>注：1职业健康档案单位总档需包括职业健康体检委托书、接触职业危害人员登记表、现场监测结果、健康检查情况一览表、职业禁忌劳动者名单及处理安置记录、职业病患者名单及诊疗安置记录、职业健康监护情况汇总表、体检结果评价报告书、健康监护情况报告书；个人档案需包括劳动者职业健康体检表（含职业史、既往病史、职业危害接触史等）、现场监测结果、健康检查结果及处理情况、职业病诊疗资料等。</w:t>
      </w:r>
    </w:p>
    <w:p>
      <w:pPr>
        <w:pStyle w:val="5"/>
        <w:widowControl/>
        <w:autoSpaceDN w:val="0"/>
        <w:spacing w:line="600" w:lineRule="exact"/>
        <w:rPr>
          <w:rFonts w:hint="eastAsia" w:ascii="仿宋_GB2312" w:hAnsi="仿宋_GB2312" w:eastAsia="仿宋_GB2312"/>
          <w:sz w:val="32"/>
        </w:rPr>
        <w:sectPr>
          <w:pgSz w:w="16838" w:h="11906" w:orient="landscape"/>
          <w:pgMar w:top="1644" w:right="2040" w:bottom="1531" w:left="1700" w:header="850" w:footer="1417" w:gutter="0"/>
          <w:pgNumType w:fmt="numberInDash"/>
          <w:cols w:space="720" w:num="1"/>
          <w:titlePg/>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279B3"/>
    <w:rsid w:val="7492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正文 New"/>
    <w:uiPriority w:val="0"/>
    <w:pPr>
      <w:widowControl w:val="0"/>
      <w:jc w:val="both"/>
    </w:pPr>
    <w:rPr>
      <w:rFonts w:ascii="Times New Roman" w:hAnsi="Times New Roman" w:eastAsia="宋体" w:cstheme="minorBidi"/>
      <w:kern w:val="2"/>
      <w:sz w:val="21"/>
      <w:lang w:val="en-US" w:eastAsia="zh-CN"/>
    </w:rPr>
  </w:style>
  <w:style w:type="paragraph" w:customStyle="1" w:styleId="6">
    <w:name w:val="页脚 New"/>
    <w:basedOn w:val="5"/>
    <w:uiPriority w:val="0"/>
    <w:pPr>
      <w:tabs>
        <w:tab w:val="center" w:pos="4153"/>
        <w:tab w:val="right" w:pos="8306"/>
      </w:tabs>
      <w:snapToGrid w:val="0"/>
      <w:jc w:val="left"/>
    </w:pPr>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2019-04-16T00:56:00Z</dcterms:created>
  <dc:creator>Administrator</dc:creator>
  <cp:lastModifiedBy>Administrator</cp:lastModifiedBy>
  <dcterms:modified xsi:type="dcterms:W3CDTF">2019-04-16T00:56:27Z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