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textAlignment w:val="top"/>
        <w:rPr>
          <w:rFonts w:cs="华文中宋" w:asciiTheme="majorEastAsia" w:hAnsiTheme="majorEastAsia" w:eastAsiaTheme="majorEastAsia"/>
          <w:b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第九届省直机关全民健身运动会</w:t>
      </w:r>
    </w:p>
    <w:p>
      <w:pPr>
        <w:spacing w:line="590" w:lineRule="exact"/>
        <w:jc w:val="center"/>
        <w:textAlignment w:val="top"/>
        <w:rPr>
          <w:rFonts w:cs="华文中宋" w:asciiTheme="majorEastAsia" w:hAnsiTheme="majorEastAsia" w:eastAsiaTheme="majorEastAsia"/>
          <w:b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健身气功八段锦</w:t>
      </w:r>
      <w:r>
        <w:rPr>
          <w:rFonts w:hint="eastAsia" w:ascii="宋体" w:hAnsi="宋体" w:cs="华文中宋"/>
          <w:b/>
          <w:sz w:val="44"/>
          <w:szCs w:val="44"/>
        </w:rPr>
        <w:t>线上</w:t>
      </w:r>
      <w:r>
        <w:rPr>
          <w:rFonts w:hint="eastAsia" w:ascii="宋体" w:hAnsi="宋体" w:cs="华文中宋"/>
          <w:b/>
          <w:sz w:val="44"/>
          <w:szCs w:val="44"/>
          <w:lang w:val="en-US" w:eastAsia="zh-CN"/>
        </w:rPr>
        <w:t>项目</w:t>
      </w:r>
      <w:r>
        <w:rPr>
          <w:rFonts w:hint="eastAsia" w:ascii="宋体" w:hAnsi="宋体" w:cs="华文中宋"/>
          <w:b/>
          <w:sz w:val="44"/>
          <w:szCs w:val="44"/>
        </w:rPr>
        <w:t>竞赛规程</w:t>
      </w:r>
      <w:bookmarkStart w:id="0" w:name="_GoBack"/>
      <w:bookmarkEnd w:id="0"/>
    </w:p>
    <w:p>
      <w:pPr>
        <w:spacing w:line="590" w:lineRule="exact"/>
        <w:ind w:firstLine="640" w:firstLineChars="200"/>
        <w:jc w:val="left"/>
        <w:textAlignment w:val="top"/>
        <w:rPr>
          <w:rFonts w:ascii="Calibri" w:hAnsi="Calibri"/>
          <w:sz w:val="32"/>
          <w:szCs w:val="32"/>
        </w:rPr>
      </w:pPr>
    </w:p>
    <w:p>
      <w:pPr>
        <w:spacing w:line="600" w:lineRule="exact"/>
        <w:ind w:firstLine="688" w:firstLineChars="200"/>
        <w:jc w:val="left"/>
        <w:textAlignment w:val="top"/>
        <w:rPr>
          <w:rFonts w:ascii="黑体" w:eastAsia="黑体"/>
          <w:spacing w:val="12"/>
          <w:sz w:val="32"/>
          <w:szCs w:val="32"/>
        </w:rPr>
      </w:pPr>
      <w:r>
        <w:rPr>
          <w:rFonts w:hint="eastAsia" w:ascii="黑体" w:eastAsia="黑体"/>
          <w:spacing w:val="12"/>
          <w:sz w:val="32"/>
          <w:szCs w:val="32"/>
        </w:rPr>
        <w:t>一、承办单位</w:t>
      </w:r>
    </w:p>
    <w:p>
      <w:pPr>
        <w:spacing w:line="600" w:lineRule="exact"/>
        <w:ind w:firstLine="688" w:firstLineChars="200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福建省直机关工会工委、福建省直机关团工委、福建省直机关妇工委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二、时间安排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报名时间：截止2021年8月10日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视频报送时间：2021年10月15日-25日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三、展演地点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适宜该项目展演的生活区、办公区或室内外健身场所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四、竞赛项目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男、女个人健身气功八段锦</w:t>
      </w:r>
    </w:p>
    <w:p>
      <w:pPr>
        <w:tabs>
          <w:tab w:val="left" w:pos="7175"/>
        </w:tabs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五、参加单位和参赛人员资格</w:t>
      </w:r>
      <w:r>
        <w:rPr>
          <w:rFonts w:ascii="黑体" w:hAnsi="黑体" w:eastAsia="黑体" w:cs="黑体"/>
          <w:spacing w:val="12"/>
          <w:sz w:val="32"/>
          <w:szCs w:val="32"/>
        </w:rPr>
        <w:tab/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按《规程总则》执行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六、参赛办法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1.参赛人数不限，由参赛单位统一组织报名。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2.</w:t>
      </w:r>
      <w:r>
        <w:rPr>
          <w:rFonts w:hint="eastAsia" w:ascii="仿宋_GB2312" w:eastAsia="仿宋_GB2312"/>
          <w:spacing w:val="12"/>
          <w:sz w:val="32"/>
          <w:szCs w:val="32"/>
        </w:rPr>
        <w:t>各参赛单位安排一名联络员，负责以下工作：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（1）报名表的填写和报送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（2）运动员展演视频的收集和把关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（3）展演视频的报送（联络员的手机号为登录账号）</w:t>
      </w:r>
    </w:p>
    <w:p>
      <w:pPr>
        <w:spacing w:line="600" w:lineRule="exact"/>
        <w:ind w:left="64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（4）本单位与主办单位、承办单位的联络工作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3.运动员展演时应着统一运动服装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七、</w:t>
      </w:r>
      <w:r>
        <w:rPr>
          <w:rFonts w:hint="eastAsia" w:ascii="黑体" w:hAnsi="黑体" w:eastAsia="黑体"/>
          <w:spacing w:val="12"/>
          <w:sz w:val="32"/>
          <w:szCs w:val="32"/>
        </w:rPr>
        <w:t>视频录制办法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pacing w:val="12"/>
          <w:kern w:val="0"/>
          <w:sz w:val="32"/>
          <w:szCs w:val="32"/>
        </w:rPr>
        <w:t>1.</w:t>
      </w:r>
      <w:r>
        <w:rPr>
          <w:rFonts w:hint="eastAsia" w:ascii="仿宋_GB2312" w:eastAsia="仿宋_GB2312"/>
          <w:spacing w:val="12"/>
          <w:sz w:val="32"/>
          <w:szCs w:val="32"/>
        </w:rPr>
        <w:t>视频录制可使用像素较高手机或其他摄像设备录制，具体要求见规程总则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2.整套动作视频完整、清晰，背景音乐不得带口令提示词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3.展演动作不得超出镜头范围，超出视为无效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八、评判标准与办法</w:t>
      </w:r>
    </w:p>
    <w:p>
      <w:pPr>
        <w:widowControl/>
        <w:shd w:val="clear" w:color="auto" w:fill="FFFFFF"/>
        <w:spacing w:line="600" w:lineRule="exact"/>
        <w:ind w:firstLine="688" w:firstLineChars="200"/>
        <w:jc w:val="left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1.展演动作规范、标准、正确、流畅</w:t>
      </w:r>
    </w:p>
    <w:p>
      <w:pPr>
        <w:widowControl/>
        <w:shd w:val="clear" w:color="auto" w:fill="FFFFFF"/>
        <w:spacing w:line="600" w:lineRule="exact"/>
        <w:ind w:firstLine="688" w:firstLineChars="200"/>
        <w:jc w:val="left"/>
        <w:rPr>
          <w:rFonts w:ascii="仿宋_GB2312" w:hAnsi="Arial" w:eastAsia="仿宋_GB2312" w:cs="Arial"/>
          <w:color w:val="333333"/>
          <w:spacing w:val="12"/>
          <w:kern w:val="0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2.由裁判组对各单位报送的运动员展演视频进行评审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九、视频报送与报名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按《规程总则》执行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十、录取名次与奖励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按《规程总则》执行</w:t>
      </w:r>
    </w:p>
    <w:p>
      <w:pPr>
        <w:numPr>
          <w:ilvl w:val="0"/>
          <w:numId w:val="1"/>
        </w:num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其他</w:t>
      </w:r>
    </w:p>
    <w:p>
      <w:pPr>
        <w:numPr>
          <w:ilvl w:val="0"/>
          <w:numId w:val="2"/>
        </w:num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裁判员不能担任该项目本次比赛的教练</w:t>
      </w:r>
    </w:p>
    <w:p>
      <w:pPr>
        <w:numPr>
          <w:ilvl w:val="0"/>
          <w:numId w:val="2"/>
        </w:num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裁判员（仲裁、竞赛监督）须统一着装并佩带有关证件</w:t>
      </w:r>
    </w:p>
    <w:p>
      <w:pPr>
        <w:numPr>
          <w:ilvl w:val="0"/>
          <w:numId w:val="2"/>
        </w:num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竞赛委员会成员及机构待定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4.本规程解释权归主办单位，未尽事宜，另行通知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032130"/>
    <w:multiLevelType w:val="singleLevel"/>
    <w:tmpl w:val="970321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3A3BCD"/>
    <w:multiLevelType w:val="singleLevel"/>
    <w:tmpl w:val="573A3BCD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5F"/>
    <w:rsid w:val="00001057"/>
    <w:rsid w:val="0000575A"/>
    <w:rsid w:val="00007218"/>
    <w:rsid w:val="00025C86"/>
    <w:rsid w:val="00035457"/>
    <w:rsid w:val="00044DA1"/>
    <w:rsid w:val="00071CC6"/>
    <w:rsid w:val="000734C5"/>
    <w:rsid w:val="00076C4D"/>
    <w:rsid w:val="00083A1A"/>
    <w:rsid w:val="000B56FB"/>
    <w:rsid w:val="000E3483"/>
    <w:rsid w:val="000E6A86"/>
    <w:rsid w:val="0010745A"/>
    <w:rsid w:val="0011006F"/>
    <w:rsid w:val="00110C48"/>
    <w:rsid w:val="00113F09"/>
    <w:rsid w:val="001339FC"/>
    <w:rsid w:val="001357AC"/>
    <w:rsid w:val="00135BCC"/>
    <w:rsid w:val="00162CBB"/>
    <w:rsid w:val="00173ACD"/>
    <w:rsid w:val="0017569B"/>
    <w:rsid w:val="001863E6"/>
    <w:rsid w:val="001866CD"/>
    <w:rsid w:val="001931DE"/>
    <w:rsid w:val="001A065F"/>
    <w:rsid w:val="001A23C1"/>
    <w:rsid w:val="001B6C5D"/>
    <w:rsid w:val="001D61D5"/>
    <w:rsid w:val="001E74BA"/>
    <w:rsid w:val="001F7D64"/>
    <w:rsid w:val="00212DDA"/>
    <w:rsid w:val="00213ADA"/>
    <w:rsid w:val="002B0BD6"/>
    <w:rsid w:val="002D1F48"/>
    <w:rsid w:val="002D3538"/>
    <w:rsid w:val="0031495A"/>
    <w:rsid w:val="003170F2"/>
    <w:rsid w:val="00326556"/>
    <w:rsid w:val="00326BEE"/>
    <w:rsid w:val="00335ACE"/>
    <w:rsid w:val="00343F88"/>
    <w:rsid w:val="0037698D"/>
    <w:rsid w:val="003779FA"/>
    <w:rsid w:val="003859F1"/>
    <w:rsid w:val="003868E8"/>
    <w:rsid w:val="003962C0"/>
    <w:rsid w:val="003A1BE3"/>
    <w:rsid w:val="003A7510"/>
    <w:rsid w:val="003C6B2D"/>
    <w:rsid w:val="003D259D"/>
    <w:rsid w:val="00401EF9"/>
    <w:rsid w:val="004044C4"/>
    <w:rsid w:val="00407C1A"/>
    <w:rsid w:val="00441E46"/>
    <w:rsid w:val="00451D73"/>
    <w:rsid w:val="00452571"/>
    <w:rsid w:val="00452B3B"/>
    <w:rsid w:val="00455AF8"/>
    <w:rsid w:val="00460652"/>
    <w:rsid w:val="00461973"/>
    <w:rsid w:val="004716A0"/>
    <w:rsid w:val="00475951"/>
    <w:rsid w:val="004A059F"/>
    <w:rsid w:val="004B4712"/>
    <w:rsid w:val="004C7829"/>
    <w:rsid w:val="005072A8"/>
    <w:rsid w:val="005112BD"/>
    <w:rsid w:val="005150A8"/>
    <w:rsid w:val="0053500A"/>
    <w:rsid w:val="00552AAF"/>
    <w:rsid w:val="00564127"/>
    <w:rsid w:val="00575EA8"/>
    <w:rsid w:val="00584979"/>
    <w:rsid w:val="005970BC"/>
    <w:rsid w:val="005A21F8"/>
    <w:rsid w:val="005A7030"/>
    <w:rsid w:val="005C744A"/>
    <w:rsid w:val="005C7601"/>
    <w:rsid w:val="005C7B1D"/>
    <w:rsid w:val="005D607A"/>
    <w:rsid w:val="00612772"/>
    <w:rsid w:val="00613AF0"/>
    <w:rsid w:val="0061480D"/>
    <w:rsid w:val="00615F6D"/>
    <w:rsid w:val="00633426"/>
    <w:rsid w:val="00642271"/>
    <w:rsid w:val="00642560"/>
    <w:rsid w:val="0066413D"/>
    <w:rsid w:val="006770CF"/>
    <w:rsid w:val="006908F2"/>
    <w:rsid w:val="006A226F"/>
    <w:rsid w:val="006C3E52"/>
    <w:rsid w:val="006C404F"/>
    <w:rsid w:val="006C6A30"/>
    <w:rsid w:val="006E6608"/>
    <w:rsid w:val="006F1954"/>
    <w:rsid w:val="00703050"/>
    <w:rsid w:val="00707E88"/>
    <w:rsid w:val="00717F3C"/>
    <w:rsid w:val="00747728"/>
    <w:rsid w:val="00750E04"/>
    <w:rsid w:val="0076222F"/>
    <w:rsid w:val="007639CD"/>
    <w:rsid w:val="0076568A"/>
    <w:rsid w:val="00776733"/>
    <w:rsid w:val="0078487A"/>
    <w:rsid w:val="007B1B58"/>
    <w:rsid w:val="007D6814"/>
    <w:rsid w:val="007D6D60"/>
    <w:rsid w:val="007E0A4A"/>
    <w:rsid w:val="007E207B"/>
    <w:rsid w:val="007E5619"/>
    <w:rsid w:val="007E7AEF"/>
    <w:rsid w:val="007F0F53"/>
    <w:rsid w:val="00804C28"/>
    <w:rsid w:val="00834072"/>
    <w:rsid w:val="00851757"/>
    <w:rsid w:val="008549B6"/>
    <w:rsid w:val="008569A0"/>
    <w:rsid w:val="0086408B"/>
    <w:rsid w:val="00865151"/>
    <w:rsid w:val="008708A3"/>
    <w:rsid w:val="008A6346"/>
    <w:rsid w:val="008B385C"/>
    <w:rsid w:val="008E6BCF"/>
    <w:rsid w:val="008F7D13"/>
    <w:rsid w:val="00902DDA"/>
    <w:rsid w:val="00915CAA"/>
    <w:rsid w:val="00916418"/>
    <w:rsid w:val="00942194"/>
    <w:rsid w:val="0096365F"/>
    <w:rsid w:val="00977AD2"/>
    <w:rsid w:val="009833F2"/>
    <w:rsid w:val="009875A0"/>
    <w:rsid w:val="00990F64"/>
    <w:rsid w:val="0099672E"/>
    <w:rsid w:val="009C5E9F"/>
    <w:rsid w:val="009D0002"/>
    <w:rsid w:val="009D3D9C"/>
    <w:rsid w:val="009E06AD"/>
    <w:rsid w:val="009E6823"/>
    <w:rsid w:val="00A02FE9"/>
    <w:rsid w:val="00A17153"/>
    <w:rsid w:val="00A273A4"/>
    <w:rsid w:val="00A51CDE"/>
    <w:rsid w:val="00A53C2E"/>
    <w:rsid w:val="00A7422F"/>
    <w:rsid w:val="00A76C7B"/>
    <w:rsid w:val="00A8412C"/>
    <w:rsid w:val="00A90F5C"/>
    <w:rsid w:val="00AA6A8E"/>
    <w:rsid w:val="00AB0540"/>
    <w:rsid w:val="00AC0292"/>
    <w:rsid w:val="00AF0ED3"/>
    <w:rsid w:val="00AF2D50"/>
    <w:rsid w:val="00B04C93"/>
    <w:rsid w:val="00B1119D"/>
    <w:rsid w:val="00B1561E"/>
    <w:rsid w:val="00B15F3E"/>
    <w:rsid w:val="00B24E91"/>
    <w:rsid w:val="00B27545"/>
    <w:rsid w:val="00B332B4"/>
    <w:rsid w:val="00B53DE2"/>
    <w:rsid w:val="00B74BE0"/>
    <w:rsid w:val="00B938CC"/>
    <w:rsid w:val="00B9457E"/>
    <w:rsid w:val="00BC1EA1"/>
    <w:rsid w:val="00BC2137"/>
    <w:rsid w:val="00BE24C0"/>
    <w:rsid w:val="00BE2814"/>
    <w:rsid w:val="00BF15C3"/>
    <w:rsid w:val="00BF54D3"/>
    <w:rsid w:val="00C169F3"/>
    <w:rsid w:val="00C21A92"/>
    <w:rsid w:val="00C26DA9"/>
    <w:rsid w:val="00C424E5"/>
    <w:rsid w:val="00C63931"/>
    <w:rsid w:val="00C81A3C"/>
    <w:rsid w:val="00C8546D"/>
    <w:rsid w:val="00C9752C"/>
    <w:rsid w:val="00CB0675"/>
    <w:rsid w:val="00CB0695"/>
    <w:rsid w:val="00CC3AF9"/>
    <w:rsid w:val="00CE4868"/>
    <w:rsid w:val="00CE4C82"/>
    <w:rsid w:val="00CE69DC"/>
    <w:rsid w:val="00D17358"/>
    <w:rsid w:val="00D26690"/>
    <w:rsid w:val="00D41018"/>
    <w:rsid w:val="00D476FB"/>
    <w:rsid w:val="00D80AB1"/>
    <w:rsid w:val="00DA2707"/>
    <w:rsid w:val="00DA37DD"/>
    <w:rsid w:val="00DF790F"/>
    <w:rsid w:val="00E03DAC"/>
    <w:rsid w:val="00E0524E"/>
    <w:rsid w:val="00E13E70"/>
    <w:rsid w:val="00E1426D"/>
    <w:rsid w:val="00E35410"/>
    <w:rsid w:val="00E3561F"/>
    <w:rsid w:val="00E43019"/>
    <w:rsid w:val="00E549AC"/>
    <w:rsid w:val="00E6774E"/>
    <w:rsid w:val="00E7171A"/>
    <w:rsid w:val="00E80A57"/>
    <w:rsid w:val="00E9010C"/>
    <w:rsid w:val="00EA355B"/>
    <w:rsid w:val="00EA3B30"/>
    <w:rsid w:val="00EB6ECC"/>
    <w:rsid w:val="00EB7734"/>
    <w:rsid w:val="00EC629D"/>
    <w:rsid w:val="00ED7BD3"/>
    <w:rsid w:val="00F00D14"/>
    <w:rsid w:val="00F017A0"/>
    <w:rsid w:val="00F17050"/>
    <w:rsid w:val="00F308E7"/>
    <w:rsid w:val="00F7760D"/>
    <w:rsid w:val="00F83B3E"/>
    <w:rsid w:val="00F92B51"/>
    <w:rsid w:val="00FA414A"/>
    <w:rsid w:val="00FB474A"/>
    <w:rsid w:val="00FC0AE6"/>
    <w:rsid w:val="00FC2861"/>
    <w:rsid w:val="00FD0416"/>
    <w:rsid w:val="00FD1D85"/>
    <w:rsid w:val="00FF74EC"/>
    <w:rsid w:val="2E0D3F05"/>
    <w:rsid w:val="424C6845"/>
    <w:rsid w:val="46204003"/>
    <w:rsid w:val="4F4B7C42"/>
    <w:rsid w:val="5F4355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semiHidden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纯文本 Char1"/>
    <w:basedOn w:val="6"/>
    <w:link w:val="2"/>
    <w:semiHidden/>
    <w:qFormat/>
    <w:locked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6CAFFA-7535-431A-88C6-59F632DF55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291</Words>
  <Characters>316</Characters>
  <Lines>39</Lines>
  <Paragraphs>28</Paragraphs>
  <TotalTime>0</TotalTime>
  <ScaleCrop>false</ScaleCrop>
  <LinksUpToDate>false</LinksUpToDate>
  <CharactersWithSpaces>579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2019-09-03T03:33:00Z</dcterms:created>
  <dc:creator>Administrator</dc:creator>
  <cp:lastModifiedBy>′Ｍi</cp:lastModifiedBy>
  <cp:lastPrinted>2021-06-21T07:16:00Z</cp:lastPrinted>
  <dcterms:modified xsi:type="dcterms:W3CDTF">2021-07-28T04:41:10Z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D28E37C8704D4D87B43694DD10F7E2C3</vt:lpwstr>
  </property>
</Properties>
</file>