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/>
          <w:spacing w:val="10"/>
          <w:sz w:val="32"/>
          <w:szCs w:val="32"/>
        </w:rPr>
      </w:pPr>
      <w:r>
        <w:rPr>
          <w:rFonts w:hint="eastAsia" w:ascii="黑体" w:hAnsi="Calibri" w:eastAsia="黑体"/>
          <w:spacing w:val="1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10"/>
          <w:sz w:val="44"/>
          <w:szCs w:val="44"/>
        </w:rPr>
        <w:t>“省工人先锋号”培育对象申报表</w:t>
      </w:r>
    </w:p>
    <w:bookmarkEnd w:id="0"/>
    <w:tbl>
      <w:tblPr>
        <w:tblStyle w:val="3"/>
        <w:tblW w:w="1030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162"/>
        <w:gridCol w:w="1680"/>
        <w:gridCol w:w="1916"/>
        <w:gridCol w:w="1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9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申报的基层工会（公章）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>填表时间</w:t>
            </w:r>
          </w:p>
        </w:tc>
        <w:tc>
          <w:tcPr>
            <w:tcW w:w="366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hAnsi="Calibri" w:eastAsia="楷体_GB2312"/>
                <w:spacing w:val="10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工会主席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（签名）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培育对象（单位及处室名称）</w:t>
            </w:r>
          </w:p>
        </w:tc>
        <w:tc>
          <w:tcPr>
            <w:tcW w:w="4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处室负责人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处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室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职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能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绩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厅局直属（机关）工会意见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省直工会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pacing w:val="1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10"/>
                <w:sz w:val="30"/>
                <w:szCs w:val="30"/>
              </w:rPr>
              <w:t>意    见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rPr>
                <w:spacing w:val="1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Calibri" w:eastAsia="仿宋_GB2312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spacing w:val="10"/>
          <w:sz w:val="28"/>
          <w:szCs w:val="28"/>
        </w:rPr>
        <w:t>本表请于每年12月31日前报送省直工会经济技术部。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4511"/>
    <w:rsid w:val="398D45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2016-11-09T02:29:00Z</dcterms:created>
  <dc:creator>Administrator</dc:creator>
  <cp:lastModifiedBy>Administrator</cp:lastModifiedBy>
  <dcterms:modified xsi:type="dcterms:W3CDTF">2016-11-09T02:30:18Z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