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23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第十三届省直机关全民健身运动会</w:t>
      </w:r>
    </w:p>
    <w:p w14:paraId="75A431F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健身气功八段锦竞赛规程</w:t>
      </w:r>
    </w:p>
    <w:p w14:paraId="0DEAEB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jc w:val="center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4DED60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一、竞赛时间</w:t>
      </w: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1"/>
          <w:sz w:val="32"/>
          <w:szCs w:val="32"/>
        </w:rPr>
        <w:t>地点</w:t>
      </w:r>
    </w:p>
    <w:p w14:paraId="44E285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时间：2026年6月（具体时间待定）。</w:t>
      </w:r>
    </w:p>
    <w:p w14:paraId="48AACC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地点：福建省奥林匹克体育中心体育馆（鼓楼区五四路310号）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2CF082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二、竞赛项目</w:t>
      </w:r>
    </w:p>
    <w:p w14:paraId="172404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（一）集体健身气功八段锦；</w:t>
      </w:r>
    </w:p>
    <w:p w14:paraId="557699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女个人健身气功八段锦。</w:t>
      </w:r>
    </w:p>
    <w:p w14:paraId="68D834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三、参加单位和参赛人员资格</w:t>
      </w:r>
    </w:p>
    <w:p w14:paraId="653EC9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按《规程总则》执行。</w:t>
      </w:r>
    </w:p>
    <w:p w14:paraId="68B4F5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四</w:t>
      </w: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1"/>
          <w:sz w:val="32"/>
          <w:szCs w:val="32"/>
        </w:rPr>
        <w:t>参赛办法</w:t>
      </w:r>
    </w:p>
    <w:p w14:paraId="033F32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参赛单位可报领队1人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运动员9人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1.集体健身气功八段锦：上场运动员9人（不分性别）；2.男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女个人健身气功八段锦：分别限报4人。</w:t>
      </w:r>
    </w:p>
    <w:p w14:paraId="162D08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（二）各参赛单位安排一名联络员，负责报名表填写报送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赛事对接等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工作。</w:t>
      </w:r>
    </w:p>
    <w:p w14:paraId="4E54306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（三）参赛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运动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员须备好身份证上场前检录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参赛时应着统一健身气功服装。</w:t>
      </w:r>
    </w:p>
    <w:p w14:paraId="5D90D79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（四）在竞赛委员会的监督下，赛前由编排记录组织抽签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决定出场顺序。</w:t>
      </w:r>
    </w:p>
    <w:p w14:paraId="59380F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五、竞赛办法</w:t>
      </w:r>
    </w:p>
    <w:p w14:paraId="6787B5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国家体育总局健身气功管理中心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审定的《健身气功竞赛规则》。</w:t>
      </w:r>
    </w:p>
    <w:p w14:paraId="7A1497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（二）集体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个人项目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统一使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用国家体育总局健身气功管理中心缩短版普及功法音乐，由大会统一播放，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解说词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口令。</w:t>
      </w:r>
    </w:p>
    <w:p w14:paraId="187D76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六、比赛评分细则</w:t>
      </w:r>
    </w:p>
    <w:p w14:paraId="40BDEF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楷体_GB2312" w:hAnsi="楷体_GB2312" w:eastAsia="楷体_GB2312" w:cs="楷体_GB2312"/>
          <w:spacing w:val="1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（一）比赛要求</w:t>
      </w:r>
    </w:p>
    <w:p w14:paraId="70E808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1.技术动作规范，符合健身气功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特点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风格。</w:t>
      </w:r>
    </w:p>
    <w:p w14:paraId="44EF35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2.集体、个人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上场队形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呈“一”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排列。</w:t>
      </w:r>
    </w:p>
    <w:p w14:paraId="4891FC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3.集体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动作整齐划一，演练过程队形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保持规整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5AF368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楷体_GB2312" w:hAnsi="楷体_GB2312" w:eastAsia="楷体_GB2312" w:cs="楷体_GB2312"/>
          <w:spacing w:val="1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（二）评分标准</w:t>
      </w:r>
    </w:p>
    <w:p w14:paraId="127E2A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比赛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10分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制评分。</w:t>
      </w:r>
    </w:p>
    <w:p w14:paraId="72D1F4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7" w:firstLineChars="200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1.动作规格评分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满分4分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</w:p>
    <w:p w14:paraId="1A2F09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（1）规格错误扣分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凡功法动作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手型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步型、身型、手法、步法、腿法、平衡等不符合功法规格要求的，每出现一次扣0.1分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同一错误多次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出现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、同一动作多种错误或多人同错，累计最高扣0.4分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出现附加、漏做动作，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每一次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扣0.1分。</w:t>
      </w:r>
    </w:p>
    <w:p w14:paraId="7DC546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（2）动作失误扣分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身体晃动、脚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随意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移动、跳动，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每一次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扣0.1分；服饰影响动作，扣0.1分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出现附加支撑，扣0.2分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倒地，扣0.3分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动作遗忘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程度扣0.1-0.3分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4711E4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7" w:firstLineChars="200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2.演示水平评分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满分6分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</w:p>
    <w:p w14:paraId="36EBF0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（1）动作质量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动作姿势、幅度、路线、起止点符合功法要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求，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动作与队形整齐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与背景音乐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一致。</w:t>
      </w:r>
    </w:p>
    <w:p w14:paraId="5FB919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（2）演练质量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劲力顺达、虚实分明、动作协调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呼吸顺畅、意念集中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眼神运用符合功法要求。</w:t>
      </w:r>
    </w:p>
    <w:p w14:paraId="0B06CF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7" w:firstLineChars="200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3.裁判长扣分</w:t>
      </w:r>
    </w:p>
    <w:p w14:paraId="16B504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（1）运动员（队）因不可抗力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导致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功法中断，经裁判长同意可重做一次，不予扣分。</w:t>
      </w:r>
    </w:p>
    <w:p w14:paraId="21E734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（2）因动作失误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导致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功法中断，可申请重做一次，扣1分。</w:t>
      </w:r>
    </w:p>
    <w:p w14:paraId="6FD74D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（3）临场因伤病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无法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继续比赛，经治疗可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恢复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的，安排在该项目最后一组上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场，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按重做处理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扣1分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无法按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，按弃权处理。</w:t>
      </w:r>
    </w:p>
    <w:p w14:paraId="35C6D3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（4）着装、场地、音乐等不符合规程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每项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扣0.1分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1EECCB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（5）音乐结束后未完成动作，扣0.1分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7ABFF0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（6）集体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每多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上场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或缺1名运动员，扣0.5分。</w:t>
      </w:r>
    </w:p>
    <w:p w14:paraId="011CE5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 xml:space="preserve">七、录取名次与奖励 </w:t>
      </w:r>
    </w:p>
    <w:p w14:paraId="26A611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按《规程总则》执行。</w:t>
      </w:r>
    </w:p>
    <w:p w14:paraId="072830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八、报名</w:t>
      </w:r>
    </w:p>
    <w:p w14:paraId="575DDA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（一）报名截止时间：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2026年5月22日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6BB361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（二）各参赛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按要求填写报名表（见附件），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经单位机关党委或党群工作部门盖章后，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将电子版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纸质版扫描件发送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至指定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邮箱。报名联系人：张颖芳，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电话：18905011919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邮箱：fjjsqg@qq.com。</w:t>
      </w:r>
    </w:p>
    <w:p w14:paraId="3AAA7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（三）报名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后，参赛人员原则上不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更换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特殊情况确需更换的，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以书面形式（加盖单位机关党委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或党群工作部门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公章）报省直工会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，并重新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报名表至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邮箱。</w:t>
      </w:r>
    </w:p>
    <w:p w14:paraId="7E6B1A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九、技术官员</w:t>
      </w:r>
    </w:p>
    <w:p w14:paraId="58CD0D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赛事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仲裁、裁判长、副裁判长、裁判员由省体育局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选派。</w:t>
      </w:r>
    </w:p>
    <w:p w14:paraId="6BE2A4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6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（二）技术官员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比赛开始前2天报到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比赛结束后1天离会；因赛前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筹备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需要提前报到的，须经省体育局批准。</w:t>
      </w:r>
    </w:p>
    <w:p w14:paraId="249D2B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（三）技术官员报到至离会期间，食宿、差旅、市内交通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工作补贴等相关费用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由承办单位承担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5860092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十、赛事安全及要求</w:t>
      </w:r>
    </w:p>
    <w:p w14:paraId="0F276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赛事执行单位要强化群众性赛事活动安全意识。严格落实《福建省体育局关于加强体育赛事活动安全监管服务的若干意见》,科学制定工作方案和安全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方案，确保赛事安全、圆满举办。</w:t>
      </w:r>
    </w:p>
    <w:p w14:paraId="1EA2091F">
      <w:pPr>
        <w:pStyle w:val="3"/>
        <w:spacing w:line="600" w:lineRule="exact"/>
        <w:ind w:firstLine="684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（二）各参赛队必须自行办理本队人员人身意外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险。在比赛期间出现意外伤害及物品丢失等突发状况，主办方、承办方和其他参赛人员免责。</w:t>
      </w:r>
    </w:p>
    <w:p w14:paraId="4AF99893">
      <w:pPr>
        <w:pStyle w:val="3"/>
        <w:spacing w:line="600" w:lineRule="exact"/>
        <w:ind w:firstLine="684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各参赛单位须做好医疗卫生及重大公共安全事件的预案和防范工作，做好队内健康管理，如参赛人员出现感冒、发烧、咳嗽、呼吸困难、心脏疾病等情况，不得参加比赛，如有隐瞒者，在比赛过程中身体出现任何意外或问题，均责任自负。</w:t>
      </w:r>
    </w:p>
    <w:p w14:paraId="65F885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十一、其他</w:t>
      </w: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事项</w:t>
      </w:r>
    </w:p>
    <w:p w14:paraId="32C15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本次赛事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裁判员不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得兼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参赛队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教练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34CF9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裁判员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仲裁、竞赛监督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须统一着装并佩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证件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上岗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513D8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（三）本规程解释权归主办单位，未尽事宜另行通知。</w:t>
      </w:r>
    </w:p>
    <w:p w14:paraId="4C2EFF0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8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0C9D557A">
      <w:pPr>
        <w:pStyle w:val="2"/>
        <w:keepNext w:val="0"/>
        <w:keepLines w:val="0"/>
        <w:pageBreakBefore w:val="0"/>
        <w:widowControl/>
        <w:tabs>
          <w:tab w:val="left" w:pos="157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1539" w:leftChars="220" w:hanging="861" w:hangingChars="252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附件：第十三届省直机关全民健身运动会健身气功八段锦比赛报名表</w:t>
      </w:r>
    </w:p>
    <w:p w14:paraId="193EE2E3"/>
    <w:p w14:paraId="2E715F11"/>
    <w:p w14:paraId="2259AF7E"/>
    <w:p w14:paraId="69F87EE2"/>
    <w:p w14:paraId="0416C6FF"/>
    <w:p w14:paraId="24CFC631"/>
    <w:p w14:paraId="6B1DE084"/>
    <w:p w14:paraId="57DFA46E"/>
    <w:p w14:paraId="4091E355"/>
    <w:p w14:paraId="6C702F28"/>
    <w:p w14:paraId="6DFAFCAD">
      <w:pPr>
        <w:autoSpaceDE/>
        <w:autoSpaceDN/>
        <w:spacing w:before="0" w:beforeLines="0" w:after="0" w:afterLines="0" w:line="600" w:lineRule="exact"/>
        <w:ind w:left="0" w:firstLine="0" w:firstLineChars="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附件</w:t>
      </w:r>
    </w:p>
    <w:p w14:paraId="661F42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600" w:lineRule="exact"/>
        <w:ind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第十三届省直机关全民健身运动会</w:t>
      </w:r>
    </w:p>
    <w:p w14:paraId="722CA5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600" w:lineRule="exact"/>
        <w:ind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健身气功八段锦比赛报名表</w:t>
      </w:r>
    </w:p>
    <w:p w14:paraId="5A355060">
      <w:pPr>
        <w:pStyle w:val="2"/>
        <w:autoSpaceDE/>
        <w:autoSpaceDN/>
        <w:spacing w:before="0" w:beforeLines="0" w:afterLines="0" w:line="600" w:lineRule="exact"/>
        <w:ind w:left="0" w:firstLine="0" w:firstLineChars="0"/>
        <w:rPr>
          <w:rFonts w:hint="eastAsia" w:ascii="楷体_GB2312" w:hAnsi="楷体_GB2312" w:eastAsia="楷体_GB2312" w:cs="楷体_GB2312"/>
          <w:spacing w:val="11"/>
          <w:sz w:val="32"/>
          <w:szCs w:val="32"/>
        </w:rPr>
      </w:pPr>
    </w:p>
    <w:p w14:paraId="0D4FCE9C">
      <w:pPr>
        <w:pStyle w:val="2"/>
        <w:autoSpaceDE/>
        <w:autoSpaceDN/>
        <w:spacing w:before="0" w:beforeLines="0" w:afterLines="0" w:line="600" w:lineRule="exact"/>
        <w:ind w:left="0" w:firstLine="0" w:firstLineChars="0"/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参赛单位（盖章）：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 xml:space="preserve">         填报日期：2026年  月  日</w:t>
      </w:r>
    </w:p>
    <w:p w14:paraId="6AB73C12">
      <w:pPr>
        <w:pStyle w:val="2"/>
        <w:spacing w:before="0" w:beforeLines="0" w:afterLines="0" w:line="600" w:lineRule="exact"/>
        <w:ind w:left="0" w:firstLine="0" w:firstLineChars="0"/>
        <w:rPr>
          <w:rFonts w:hint="eastAsia" w:ascii="楷体_GB2312" w:hAnsi="楷体_GB2312" w:eastAsia="楷体_GB2312" w:cs="楷体_GB2312"/>
          <w:spacing w:val="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领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>　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 xml:space="preserve">队：  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 xml:space="preserve">手机号码：             </w:t>
      </w:r>
    </w:p>
    <w:p w14:paraId="5563521D">
      <w:pPr>
        <w:pStyle w:val="2"/>
        <w:autoSpaceDE/>
        <w:autoSpaceDN/>
        <w:spacing w:before="0" w:beforeLines="0" w:after="0" w:afterLines="0" w:line="600" w:lineRule="exact"/>
        <w:ind w:left="0" w:firstLine="0" w:firstLineChars="0"/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>联络员：                手机号码：</w:t>
      </w:r>
    </w:p>
    <w:tbl>
      <w:tblPr>
        <w:tblStyle w:val="8"/>
        <w:tblW w:w="85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589"/>
        <w:gridCol w:w="602"/>
        <w:gridCol w:w="2369"/>
        <w:gridCol w:w="989"/>
        <w:gridCol w:w="990"/>
        <w:gridCol w:w="1319"/>
      </w:tblGrid>
      <w:tr w14:paraId="32CB8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vMerge w:val="restart"/>
            <w:tcBorders>
              <w:bottom w:val="nil"/>
            </w:tcBorders>
            <w:noWrap w:val="0"/>
            <w:vAlign w:val="center"/>
          </w:tcPr>
          <w:p w14:paraId="374DF297"/>
          <w:p w14:paraId="1181BDA6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  <w:t>序号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noWrap w:val="0"/>
            <w:vAlign w:val="center"/>
          </w:tcPr>
          <w:p w14:paraId="30B9B425"/>
          <w:p w14:paraId="76BE5CF5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  <w:t>姓名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8FDC01A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  <w:t>性 别</w:t>
            </w:r>
          </w:p>
        </w:tc>
        <w:tc>
          <w:tcPr>
            <w:tcW w:w="2369" w:type="dxa"/>
            <w:vMerge w:val="restart"/>
            <w:tcBorders>
              <w:bottom w:val="nil"/>
            </w:tcBorders>
            <w:noWrap w:val="0"/>
            <w:vAlign w:val="center"/>
          </w:tcPr>
          <w:p w14:paraId="435CDA31"/>
          <w:p w14:paraId="126B1131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  <w:t>身份证号码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0466EFF8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  <w:t>个人八段锦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noWrap w:val="0"/>
            <w:vAlign w:val="center"/>
          </w:tcPr>
          <w:p w14:paraId="3FF5BB9A">
            <w:pPr>
              <w:autoSpaceDE/>
              <w:autoSpaceDN/>
              <w:spacing w:before="0" w:line="400" w:lineRule="atLeast"/>
              <w:ind w:left="0" w:right="0" w:firstLine="0" w:firstLineChars="0"/>
              <w:jc w:val="center"/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  <w:t>集体  八段锦</w:t>
            </w:r>
          </w:p>
        </w:tc>
      </w:tr>
      <w:tr w14:paraId="4FC90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vMerge w:val="continue"/>
            <w:tcBorders>
              <w:top w:val="nil"/>
            </w:tcBorders>
            <w:noWrap w:val="0"/>
            <w:vAlign w:val="center"/>
          </w:tcPr>
          <w:p w14:paraId="743A4A71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noWrap w:val="0"/>
            <w:vAlign w:val="center"/>
          </w:tcPr>
          <w:p w14:paraId="4849DE32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894817B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  <w:noWrap w:val="0"/>
            <w:vAlign w:val="center"/>
          </w:tcPr>
          <w:p w14:paraId="5D0419CD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873AC61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  <w:t>男子</w:t>
            </w:r>
          </w:p>
        </w:tc>
        <w:tc>
          <w:tcPr>
            <w:tcW w:w="990" w:type="dxa"/>
            <w:noWrap w:val="0"/>
            <w:vAlign w:val="center"/>
          </w:tcPr>
          <w:p w14:paraId="34DE44C3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  <w:t>女子</w:t>
            </w:r>
          </w:p>
        </w:tc>
        <w:tc>
          <w:tcPr>
            <w:tcW w:w="1319" w:type="dxa"/>
            <w:vMerge w:val="continue"/>
            <w:tcBorders>
              <w:top w:val="nil"/>
            </w:tcBorders>
            <w:noWrap w:val="0"/>
            <w:vAlign w:val="center"/>
          </w:tcPr>
          <w:p w14:paraId="685A786B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</w:pPr>
          </w:p>
        </w:tc>
      </w:tr>
      <w:tr w14:paraId="3F9DB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noWrap w:val="0"/>
            <w:vAlign w:val="center"/>
          </w:tcPr>
          <w:p w14:paraId="6CB8775C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1</w:t>
            </w:r>
          </w:p>
        </w:tc>
        <w:tc>
          <w:tcPr>
            <w:tcW w:w="1589" w:type="dxa"/>
            <w:noWrap w:val="0"/>
            <w:vAlign w:val="center"/>
          </w:tcPr>
          <w:p w14:paraId="4A11DFB5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A999161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0FEC307F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03D0D55B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23CAB77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noWrap w:val="0"/>
            <w:vAlign w:val="center"/>
          </w:tcPr>
          <w:p w14:paraId="5152C3CF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</w:tr>
      <w:tr w14:paraId="41F77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noWrap w:val="0"/>
            <w:vAlign w:val="center"/>
          </w:tcPr>
          <w:p w14:paraId="1814AC47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2</w:t>
            </w:r>
          </w:p>
        </w:tc>
        <w:tc>
          <w:tcPr>
            <w:tcW w:w="1589" w:type="dxa"/>
            <w:noWrap w:val="0"/>
            <w:vAlign w:val="center"/>
          </w:tcPr>
          <w:p w14:paraId="46471F44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2262A8F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16CD9E05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444C2FD2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710ADD8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3952AA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</w:tr>
      <w:tr w14:paraId="746A6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noWrap w:val="0"/>
            <w:vAlign w:val="center"/>
          </w:tcPr>
          <w:p w14:paraId="4030CE41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3</w:t>
            </w:r>
          </w:p>
        </w:tc>
        <w:tc>
          <w:tcPr>
            <w:tcW w:w="1589" w:type="dxa"/>
            <w:noWrap w:val="0"/>
            <w:vAlign w:val="center"/>
          </w:tcPr>
          <w:p w14:paraId="72811B62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DD5D8E9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130AAA9A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6241E7AB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972710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334D26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</w:tr>
      <w:tr w14:paraId="6153C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noWrap w:val="0"/>
            <w:vAlign w:val="center"/>
          </w:tcPr>
          <w:p w14:paraId="7E799C4B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4</w:t>
            </w:r>
          </w:p>
        </w:tc>
        <w:tc>
          <w:tcPr>
            <w:tcW w:w="1589" w:type="dxa"/>
            <w:noWrap w:val="0"/>
            <w:vAlign w:val="center"/>
          </w:tcPr>
          <w:p w14:paraId="3474E5DF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D180A0B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127682A8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3AB2EFE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42B5E12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C0C880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</w:tr>
      <w:tr w14:paraId="601DD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noWrap w:val="0"/>
            <w:vAlign w:val="center"/>
          </w:tcPr>
          <w:p w14:paraId="6037772E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5</w:t>
            </w:r>
          </w:p>
        </w:tc>
        <w:tc>
          <w:tcPr>
            <w:tcW w:w="1589" w:type="dxa"/>
            <w:noWrap w:val="0"/>
            <w:vAlign w:val="center"/>
          </w:tcPr>
          <w:p w14:paraId="2CC7605F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1798715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294728B3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3E3D745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02AA637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3D648D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</w:tr>
      <w:tr w14:paraId="28C2B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noWrap w:val="0"/>
            <w:vAlign w:val="center"/>
          </w:tcPr>
          <w:p w14:paraId="7F200DDB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6</w:t>
            </w:r>
          </w:p>
        </w:tc>
        <w:tc>
          <w:tcPr>
            <w:tcW w:w="1589" w:type="dxa"/>
            <w:noWrap w:val="0"/>
            <w:vAlign w:val="center"/>
          </w:tcPr>
          <w:p w14:paraId="3C3E4970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FE9781D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18234709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2D8CEEE0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AD7BD2E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858A1F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</w:tr>
      <w:tr w14:paraId="72FFE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noWrap w:val="0"/>
            <w:vAlign w:val="center"/>
          </w:tcPr>
          <w:p w14:paraId="1903293B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7</w:t>
            </w:r>
          </w:p>
        </w:tc>
        <w:tc>
          <w:tcPr>
            <w:tcW w:w="1589" w:type="dxa"/>
            <w:noWrap w:val="0"/>
            <w:vAlign w:val="center"/>
          </w:tcPr>
          <w:p w14:paraId="26F46564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9F9EA07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301FA77F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04599ECC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C17FECD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A192CA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</w:tr>
      <w:tr w14:paraId="283BA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noWrap w:val="0"/>
            <w:vAlign w:val="center"/>
          </w:tcPr>
          <w:p w14:paraId="2C4BD779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8</w:t>
            </w:r>
          </w:p>
        </w:tc>
        <w:tc>
          <w:tcPr>
            <w:tcW w:w="1589" w:type="dxa"/>
            <w:noWrap w:val="0"/>
            <w:vAlign w:val="center"/>
          </w:tcPr>
          <w:p w14:paraId="1A1A4F48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D2EA023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4D6FABA3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3B36EF4D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4D20649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28B8E3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</w:tr>
      <w:tr w14:paraId="17737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42" w:type="dxa"/>
            <w:noWrap w:val="0"/>
            <w:vAlign w:val="center"/>
          </w:tcPr>
          <w:p w14:paraId="04DC9335">
            <w:pPr>
              <w:autoSpaceDE/>
              <w:autoSpaceDN/>
              <w:spacing w:before="0" w:line="400" w:lineRule="atLeas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9</w:t>
            </w:r>
          </w:p>
        </w:tc>
        <w:tc>
          <w:tcPr>
            <w:tcW w:w="1589" w:type="dxa"/>
            <w:noWrap w:val="0"/>
            <w:vAlign w:val="center"/>
          </w:tcPr>
          <w:p w14:paraId="244C842B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AD3865F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3ABAA146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 w14:paraId="25C96CFC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6874E08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noWrap w:val="0"/>
            <w:vAlign w:val="center"/>
          </w:tcPr>
          <w:p w14:paraId="71DAAAEA">
            <w:pPr>
              <w:pStyle w:val="9"/>
              <w:autoSpaceDE/>
              <w:autoSpaceDN/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</w:pPr>
          </w:p>
        </w:tc>
      </w:tr>
    </w:tbl>
    <w:p w14:paraId="11C3EE71">
      <w:pPr>
        <w:pStyle w:val="2"/>
        <w:autoSpaceDE/>
        <w:autoSpaceDN/>
        <w:spacing w:beforeLines="0" w:line="440" w:lineRule="exact"/>
        <w:ind w:firstLine="644" w:firstLineChars="200"/>
        <w:rPr>
          <w:rFonts w:hint="eastAsia" w:ascii="楷体" w:hAnsi="楷体" w:eastAsia="楷体" w:cs="楷体"/>
          <w:spacing w:val="11"/>
          <w:sz w:val="30"/>
          <w:szCs w:val="30"/>
          <w:lang w:eastAsia="zh-CN"/>
        </w:rPr>
      </w:pPr>
    </w:p>
    <w:p w14:paraId="7759DA71">
      <w:r>
        <w:rPr>
          <w:rFonts w:hint="eastAsia" w:ascii="仿宋_GB2312" w:hAnsi="仿宋_GB2312" w:eastAsia="仿宋_GB2312" w:cs="仿宋_GB2312"/>
          <w:spacing w:val="0"/>
          <w:szCs w:val="32"/>
        </w:rPr>
        <w:br w:type="page"/>
      </w:r>
      <w:bookmarkStart w:id="0" w:name="_GoBack"/>
      <w:bookmarkEnd w:id="0"/>
    </w:p>
    <w:p w14:paraId="0C1FA5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245AA-46A1-4F80-BCEE-4BDA205D1D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4F5855-4377-4A24-8D1C-6ED5C012CB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D2A3495-C5E8-4720-A2C1-2E2A173413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C2C32A0-85FC-41F7-8F23-1A18F302A47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81CAF96-DE7F-4924-B430-784AD40760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8CD657C-4228-49EA-BF0B-36E807A8DBE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5503F"/>
    <w:rsid w:val="39E5503F"/>
    <w:rsid w:val="6D2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next w:val="5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1709</Words>
  <Characters>1778</Characters>
  <Lines>0</Lines>
  <Paragraphs>0</Paragraphs>
  <TotalTime>0</TotalTime>
  <ScaleCrop>false</ScaleCrop>
  <LinksUpToDate>false</LinksUpToDate>
  <CharactersWithSpaces>1780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2026-04-02T02:19:00Z</dcterms:created>
  <dc:creator>七夕</dc:creator>
  <cp:lastModifiedBy>七夕</cp:lastModifiedBy>
  <dcterms:modified xsi:type="dcterms:W3CDTF">2026-04-02T02:36:42Z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6EDB8749195342AEBAFABC68610CC812_11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