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Chars="0" w:firstLine="0" w:firstLineChars="0"/>
        <w:jc w:val="center"/>
        <w:textAlignment w:val="auto"/>
        <w:rPr>
          <w:rFonts w:hint="eastAsia" w:ascii="方正小标宋简体" w:hAnsi="方正小标宋简体" w:eastAsia="方正小标宋简体" w:cs="方正小标宋简体"/>
          <w:b w:val="0"/>
          <w:bCs/>
          <w:color w:val="auto"/>
          <w:sz w:val="44"/>
          <w:lang w:eastAsia="zh-CN"/>
        </w:rPr>
      </w:pPr>
      <w:r>
        <w:rPr>
          <w:rFonts w:hint="eastAsia" w:ascii="方正小标宋简体" w:hAnsi="方正小标宋简体" w:eastAsia="方正小标宋简体" w:cs="方正小标宋简体"/>
          <w:b w:val="0"/>
          <w:bCs/>
          <w:color w:val="auto"/>
          <w:sz w:val="44"/>
          <w:lang w:eastAsia="zh-CN"/>
        </w:rPr>
        <w:t>福建省总工会</w:t>
      </w:r>
      <w:r>
        <w:rPr>
          <w:rFonts w:hint="eastAsia" w:ascii="方正小标宋简体" w:hAnsi="方正小标宋简体" w:eastAsia="方正小标宋简体" w:cs="方正小标宋简体"/>
          <w:b w:val="0"/>
          <w:bCs/>
          <w:color w:val="auto"/>
          <w:sz w:val="44"/>
          <w:lang w:val="en-US" w:eastAsia="zh-CN"/>
        </w:rPr>
        <w:t>办公室</w:t>
      </w:r>
      <w:r>
        <w:rPr>
          <w:rFonts w:hint="eastAsia" w:ascii="方正小标宋简体" w:hAnsi="方正小标宋简体" w:eastAsia="方正小标宋简体" w:cs="方正小标宋简体"/>
          <w:b w:val="0"/>
          <w:bCs/>
          <w:color w:val="auto"/>
          <w:sz w:val="44"/>
          <w:lang w:eastAsia="zh-CN"/>
        </w:rPr>
        <w:t>关于开展</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Chars="0" w:firstLine="0" w:firstLineChars="0"/>
        <w:jc w:val="center"/>
        <w:textAlignment w:val="auto"/>
        <w:rPr>
          <w:rFonts w:hint="default" w:ascii="方正小标宋简体" w:hAnsi="方正小标宋简体" w:eastAsia="方正小标宋简体" w:cs="方正小标宋简体"/>
          <w:b w:val="0"/>
          <w:bCs/>
          <w:color w:val="auto"/>
          <w:sz w:val="44"/>
          <w:lang w:val="en-US" w:eastAsia="zh-CN"/>
        </w:rPr>
      </w:pPr>
      <w:r>
        <w:rPr>
          <w:rFonts w:hint="eastAsia" w:ascii="方正小标宋简体" w:hAnsi="方正小标宋简体" w:eastAsia="方正小标宋简体" w:cs="方正小标宋简体"/>
          <w:b w:val="0"/>
          <w:bCs/>
          <w:color w:val="auto"/>
          <w:sz w:val="44"/>
          <w:lang w:eastAsia="zh-CN"/>
        </w:rPr>
        <w:t>“‘工’学新思想</w:t>
      </w:r>
      <w:r>
        <w:rPr>
          <w:rFonts w:hint="eastAsia" w:ascii="方正小标宋简体" w:hAnsi="方正小标宋简体" w:eastAsia="方正小标宋简体" w:cs="方正小标宋简体"/>
          <w:b w:val="0"/>
          <w:bCs/>
          <w:color w:val="auto"/>
          <w:sz w:val="44"/>
          <w:lang w:val="en-US" w:eastAsia="zh-CN"/>
        </w:rPr>
        <w:t>‘工’讲二十大”</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Chars="0" w:firstLine="0" w:firstLineChars="0"/>
        <w:jc w:val="center"/>
        <w:textAlignment w:val="auto"/>
        <w:rPr>
          <w:rFonts w:hint="eastAsia" w:ascii="方正小标宋简体" w:hAnsi="方正小标宋简体" w:eastAsia="方正小标宋简体" w:cs="方正小标宋简体"/>
          <w:b w:val="0"/>
          <w:bCs/>
          <w:color w:val="auto"/>
          <w:sz w:val="44"/>
          <w:lang w:eastAsia="zh-CN"/>
        </w:rPr>
      </w:pPr>
      <w:r>
        <w:rPr>
          <w:rFonts w:hint="eastAsia" w:ascii="方正小标宋简体" w:hAnsi="方正小标宋简体" w:eastAsia="方正小标宋简体" w:cs="方正小标宋简体"/>
          <w:b w:val="0"/>
          <w:bCs/>
          <w:color w:val="auto"/>
          <w:sz w:val="44"/>
          <w:lang w:eastAsia="zh-CN"/>
        </w:rPr>
        <w:t>全省职工“微宣讲”视频比赛的通知</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Chars="0" w:firstLine="0" w:firstLineChars="0"/>
        <w:jc w:val="center"/>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（闽工办〔</w:t>
      </w:r>
      <w:r>
        <w:rPr>
          <w:rFonts w:hint="eastAsia" w:ascii="仿宋_GB2312" w:hAnsi="仿宋_GB2312" w:eastAsia="仿宋_GB2312" w:cs="仿宋_GB2312"/>
          <w:b w:val="0"/>
          <w:bCs/>
          <w:color w:val="auto"/>
          <w:sz w:val="32"/>
          <w:szCs w:val="32"/>
          <w:lang w:val="en-US" w:eastAsia="zh-CN"/>
        </w:rPr>
        <w:t>2023</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57</w:t>
      </w:r>
      <w:r>
        <w:rPr>
          <w:rFonts w:hint="eastAsia" w:ascii="仿宋_GB2312" w:hAnsi="仿宋_GB2312" w:eastAsia="仿宋_GB2312" w:cs="仿宋_GB2312"/>
          <w:b w:val="0"/>
          <w:bCs/>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各设区市、平潭综合实验区总工会，省直机关工会，各省级产业（系统）工会：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为深入学习宣传贯彻党的二十大精神，推动习近平新时代中国特色社会主义思想“飞入寻常百姓家”，着力实施“深学争优、敢为争先、实干争效”行动，团结引领广大职工在谱写中国式现代化福建篇章中作出新的更大贡献，省总工会决定开展“工”学新思想 “工”讲二十大——全省职工“微宣讲”视频比赛。</w:t>
      </w:r>
      <w:r>
        <w:rPr>
          <w:rFonts w:hint="eastAsia" w:ascii="仿宋_GB2312" w:hAnsi="仿宋_GB2312" w:eastAsia="仿宋_GB2312" w:cs="仿宋_GB2312"/>
          <w:sz w:val="32"/>
          <w:szCs w:val="32"/>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一、活动主题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US" w:eastAsia="zh-CN" w:bidi="ar-SA"/>
        </w:rPr>
        <w:t>“工”学新思想 “工”讲二十大。</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二、活动时间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2023年7月-11月。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三、活动形式</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比赛设置主题宣讲类、媒体宣传类和文艺作品类三个项目，以各设区市、平潭综合实验区总工会，省直机关工会，各省级产业（系统）工会为报送单位，由省总工会组织评审，举办评审结果发布仪式并进行作品展播。</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四、奖项设置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每个项目各设置一等奖2个、二等奖3个、三等奖5个，分别给予</w:t>
      </w:r>
      <w:r>
        <w:rPr>
          <w:rFonts w:hint="eastAsia" w:ascii="仿宋_GB2312" w:hAnsi="仿宋_GB2312" w:eastAsia="仿宋_GB2312" w:cs="仿宋_GB2312"/>
          <w:i w:val="0"/>
          <w:iCs w:val="0"/>
          <w:caps w:val="0"/>
          <w:color w:val="000000"/>
          <w:spacing w:val="0"/>
          <w:kern w:val="0"/>
          <w:sz w:val="32"/>
          <w:szCs w:val="32"/>
          <w:u w:val="none"/>
          <w:lang w:val="en-US" w:eastAsia="zh-CN" w:bidi="ar"/>
        </w:rPr>
        <w:t>奖金2000元、1500元、1000元；同时，各项目再评出</w:t>
      </w:r>
      <w:r>
        <w:rPr>
          <w:rFonts w:hint="eastAsia" w:ascii="仿宋_GB2312" w:hAnsi="仿宋_GB2312" w:eastAsia="仿宋_GB2312" w:cs="仿宋_GB2312"/>
          <w:sz w:val="32"/>
          <w:szCs w:val="32"/>
          <w:u w:val="none"/>
          <w:lang w:val="en-US" w:eastAsia="zh-CN"/>
        </w:rPr>
        <w:t>优秀作品奖5个，并</w:t>
      </w:r>
      <w:r>
        <w:rPr>
          <w:rFonts w:hint="eastAsia" w:ascii="仿宋_GB2312" w:hAnsi="仿宋_GB2312" w:eastAsia="仿宋_GB2312" w:cs="仿宋_GB2312"/>
          <w:color w:val="000000"/>
          <w:sz w:val="32"/>
          <w:szCs w:val="32"/>
          <w:lang w:val="en-US" w:eastAsia="zh-CN"/>
        </w:rPr>
        <w:t>根据各报送单位作品成绩和组织情况评出优秀组织奖5个</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五、作品要求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（一）主题宣讲类内容要求。</w:t>
      </w:r>
      <w:r>
        <w:rPr>
          <w:rFonts w:hint="eastAsia" w:ascii="仿宋_GB2312" w:hAnsi="仿宋_GB2312" w:eastAsia="仿宋_GB2312" w:cs="仿宋_GB2312"/>
          <w:sz w:val="32"/>
          <w:szCs w:val="32"/>
          <w:lang w:val="en-US" w:eastAsia="zh-CN"/>
        </w:rPr>
        <w:t>以单人讲述的形式录制宣讲视频，时长5分钟以内，讲述学习习近平新时代中国特色社会主义思想和党的二十大精神的深刻体会,讲述在党的领导下坚守初心使命、勇立潮头建新功的奋斗故事,讲述职工群众发挥先锋模范作用、积极担当作为、忠诚履职尽责的感人故事,用“小切口”呈现“大主题”,“小故事”折射“大时代”,“家常话”解读“大道理”，引领广大职工群众带着坚定信仰、怀着深厚感情，忠诚拥护“两个确立”、坚决做到“两个维护”。</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（二）媒体宣传类内容要求。</w:t>
      </w:r>
      <w:r>
        <w:rPr>
          <w:rFonts w:hint="eastAsia" w:ascii="仿宋_GB2312" w:hAnsi="仿宋_GB2312" w:eastAsia="仿宋_GB2312" w:cs="仿宋_GB2312"/>
          <w:sz w:val="32"/>
          <w:szCs w:val="32"/>
          <w:lang w:val="en-US" w:eastAsia="zh-CN"/>
        </w:rPr>
        <w:t>适用于媒体平台宣传报道的视频，时长3分钟以内，可以是理论宣传、政策宣传、举措宣传、成就宣传和典型宣传，用大众化语言把党和国家的政策安排讲透彻，用身边人、身边事把新福建建设的显著成效和工会工作的新作为展示好，鼓励全省广大职工立足本职建功立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（三）文艺作品类内容要求。</w:t>
      </w:r>
      <w:r>
        <w:rPr>
          <w:rFonts w:hint="eastAsia" w:ascii="仿宋_GB2312" w:hAnsi="仿宋_GB2312" w:eastAsia="仿宋_GB2312" w:cs="仿宋_GB2312"/>
          <w:kern w:val="0"/>
          <w:sz w:val="32"/>
          <w:szCs w:val="32"/>
          <w:lang w:val="en-US" w:eastAsia="zh-CN" w:bidi="ar"/>
        </w:rPr>
        <w:t>适用于实际演出活动的节目视频，时长8分钟以内，包括但不限于歌舞、小品、快板、戏曲、朗诵等形式，推出一批具有“工”字特色的文艺作品，</w:t>
      </w:r>
      <w:r>
        <w:rPr>
          <w:rFonts w:hint="eastAsia" w:ascii="仿宋_GB2312" w:hAnsi="仿宋_GB2312" w:eastAsia="仿宋_GB2312" w:cs="仿宋_GB2312"/>
          <w:sz w:val="32"/>
          <w:szCs w:val="32"/>
          <w:lang w:val="en-US" w:eastAsia="zh-CN"/>
        </w:rPr>
        <w:t>展示职工昂扬向上、拼搏奋斗的精神风貌。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（四）格式要求。</w:t>
      </w:r>
      <w:r>
        <w:rPr>
          <w:rFonts w:hint="eastAsia" w:ascii="仿宋_GB2312" w:hAnsi="仿宋_GB2312" w:eastAsia="仿宋_GB2312" w:cs="仿宋_GB2312"/>
          <w:sz w:val="32"/>
          <w:szCs w:val="32"/>
          <w:lang w:val="en-US" w:eastAsia="zh-CN"/>
        </w:rPr>
        <w:t>视频应为横版；可以是MP4、MOV等常规格式；分辨率不低于1920×1080；文件大小不低于500M；画面要求清晰稳定、色彩自然、无明显噪音和抖动现象；声画同步且配有简体中文字幕。主题宣讲类视频可根据内容适当插入图片、文字等配合宣讲的画面；媒体宣传类视频可根据内容采用动漫、Vlog等短视频形式；文艺作品类视频需以舞台为背景进行录制，画面镜头可远近景切换。</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（五）版权要求。</w:t>
      </w:r>
      <w:r>
        <w:rPr>
          <w:rFonts w:hint="eastAsia" w:ascii="仿宋_GB2312" w:hAnsi="仿宋_GB2312" w:eastAsia="仿宋_GB2312" w:cs="仿宋_GB2312"/>
          <w:sz w:val="32"/>
          <w:szCs w:val="32"/>
          <w:lang w:val="en-US" w:eastAsia="zh-CN"/>
        </w:rPr>
        <w:t>参赛视频作品内容要求原创，严禁剽窃、抄袭，主办单位有权对投稿作品进行宣传使用，作者投稿即视为同意。如涉及著作权、版权、肖像权或名誉权纠纷，一经核实立即取消参赛资格，由作者承担相应责任，以上内容最终解释权归比赛主办方所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六、报送要求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各设区市、平潭综合实验区总工会，省直机关工会，各省级产业（系统）工会汇总后统一报送，不接受企事业单位工会和职工的单独报送。各报送单位每个项目至少报送5个作品，报送时需填写《作品报送表》和《汇总表》（附件1-4），并按要求填写视频作品的相关文字材料，包括主题宣讲类作品的讲稿、媒体宣传类作品的简介及脚本、文艺作品类的简介及台本等相关内容，并以U盘或光盘形式报送至省总工会宣传教育部。报送截止日期为2023年9月1</w:t>
      </w:r>
      <w:r>
        <w:rPr>
          <w:rFonts w:hint="default"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联系人：蒋晓娟 0591-87721191、13805012192；电子邮箱：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"mailto:996177987@qq.com；"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996177987@qq.com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；邮寄地址：福州市鼓楼区琴亭路33号福建省总工会宣传教育部。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附件：1.主题宣讲类作品报送表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2.媒体宣传类作品报送表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3.文艺作品类作品报送表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4.作品报送汇总表</w:t>
      </w:r>
    </w:p>
    <w:p>
      <w:pPr>
        <w:keepNext w:val="0"/>
        <w:keepLines w:val="0"/>
        <w:pageBreakBefore w:val="0"/>
        <w:widowControl w:val="0"/>
        <w:kinsoku/>
        <w:overflowPunct/>
        <w:topLinePunct w:val="0"/>
        <w:autoSpaceDE/>
        <w:autoSpaceDN/>
        <w:bidi w:val="0"/>
        <w:adjustRightInd/>
        <w:snapToGrid/>
        <w:spacing w:beforeLines="0" w:afterLines="0" w:line="600" w:lineRule="exact"/>
        <w:textAlignment w:val="auto"/>
        <w:rPr>
          <w:rFonts w:hint="default" w:eastAsia="宋体"/>
          <w:lang w:val="en-US" w:eastAsia="zh-CN"/>
        </w:rPr>
      </w:pPr>
    </w:p>
    <w:p>
      <w:pPr>
        <w:keepNext w:val="0"/>
        <w:keepLines w:val="0"/>
        <w:pageBreakBefore w:val="0"/>
        <w:widowControl w:val="0"/>
        <w:kinsoku/>
        <w:wordWrap w:val="0"/>
        <w:overflowPunct/>
        <w:topLinePunct w:val="0"/>
        <w:autoSpaceDE/>
        <w:autoSpaceDN/>
        <w:bidi w:val="0"/>
        <w:adjustRightInd/>
        <w:snapToGrid/>
        <w:spacing w:beforeLines="0" w:afterLines="0"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福建省总工会办公室       </w:t>
      </w:r>
    </w:p>
    <w:p>
      <w:pPr>
        <w:keepNext w:val="0"/>
        <w:keepLines w:val="0"/>
        <w:pageBreakBefore w:val="0"/>
        <w:widowControl w:val="0"/>
        <w:kinsoku/>
        <w:wordWrap w:val="0"/>
        <w:overflowPunct/>
        <w:topLinePunct w:val="0"/>
        <w:autoSpaceDE/>
        <w:autoSpaceDN/>
        <w:bidi w:val="0"/>
        <w:adjustRightInd/>
        <w:snapToGrid/>
        <w:spacing w:beforeLines="0" w:afterLines="0"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2023年7月3日        </w:t>
      </w: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pStyle w:val="2"/>
        <w:rPr>
          <w:rFonts w:hint="eastAsia" w:ascii="黑体" w:hAnsi="黑体" w:eastAsia="黑体" w:cs="黑体"/>
          <w:sz w:val="28"/>
          <w:szCs w:val="28"/>
          <w:lang w:val="en-US" w:eastAsia="zh-CN"/>
        </w:rPr>
      </w:pPr>
    </w:p>
    <w:p>
      <w:pPr>
        <w:pStyle w:val="2"/>
        <w:rPr>
          <w:rFonts w:hint="eastAsia" w:ascii="黑体" w:hAnsi="黑体" w:eastAsia="黑体" w:cs="黑体"/>
          <w:sz w:val="28"/>
          <w:szCs w:val="28"/>
          <w:lang w:val="en-US" w:eastAsia="zh-CN"/>
        </w:rPr>
      </w:pPr>
    </w:p>
    <w:p>
      <w:pPr>
        <w:pStyle w:val="2"/>
        <w:rPr>
          <w:rFonts w:hint="eastAsia" w:ascii="黑体" w:hAnsi="黑体" w:eastAsia="黑体" w:cs="黑体"/>
          <w:sz w:val="28"/>
          <w:szCs w:val="28"/>
          <w:lang w:val="en-US" w:eastAsia="zh-CN"/>
        </w:rPr>
      </w:pPr>
    </w:p>
    <w:p>
      <w:pPr>
        <w:pStyle w:val="2"/>
        <w:rPr>
          <w:rFonts w:hint="eastAsia" w:ascii="黑体" w:hAnsi="黑体" w:eastAsia="黑体" w:cs="黑体"/>
          <w:sz w:val="28"/>
          <w:szCs w:val="28"/>
          <w:lang w:val="en-US" w:eastAsia="zh-CN"/>
        </w:rPr>
      </w:pPr>
    </w:p>
    <w:p>
      <w:pPr>
        <w:pStyle w:val="2"/>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主题宣讲类作品报送表</w:t>
      </w:r>
    </w:p>
    <w:p>
      <w:pPr>
        <w:pStyle w:val="3"/>
        <w:keepNext/>
        <w:keepLines/>
        <w:pageBreakBefore w:val="0"/>
        <w:widowControl w:val="0"/>
        <w:kinsoku/>
        <w:wordWrap/>
        <w:overflowPunct/>
        <w:topLinePunct w:val="0"/>
        <w:autoSpaceDE/>
        <w:autoSpaceDN/>
        <w:bidi w:val="0"/>
        <w:adjustRightInd/>
        <w:snapToGrid/>
        <w:spacing w:before="0" w:beforeLines="0" w:after="157" w:afterLines="50" w:line="5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报送单位：          填报人（电话）：           时间：</w:t>
      </w:r>
    </w:p>
    <w:tbl>
      <w:tblPr>
        <w:tblStyle w:val="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40" w:type="dxa"/>
            <w:noWrap w:val="0"/>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作品名称</w:t>
            </w:r>
          </w:p>
        </w:tc>
        <w:tc>
          <w:tcPr>
            <w:tcW w:w="7095" w:type="dxa"/>
            <w:noWrap w:val="0"/>
            <w:vAlign w:val="top"/>
          </w:tcPr>
          <w:p>
            <w:pP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作品单位</w:t>
            </w:r>
          </w:p>
        </w:tc>
        <w:tc>
          <w:tcPr>
            <w:tcW w:w="7095" w:type="dxa"/>
            <w:noWrap w:val="0"/>
            <w:vAlign w:val="top"/>
          </w:tcPr>
          <w:p>
            <w:pP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作品作者</w:t>
            </w:r>
          </w:p>
        </w:tc>
        <w:tc>
          <w:tcPr>
            <w:tcW w:w="7095"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（视频制作人员，可含策划、摄像、剪辑等人员）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宣讲人简介</w:t>
            </w:r>
          </w:p>
        </w:tc>
        <w:tc>
          <w:tcPr>
            <w:tcW w:w="7095"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（姓名、单位、职务、荣誉和个人事迹简介）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740"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宣讲内容</w:t>
            </w:r>
          </w:p>
        </w:tc>
        <w:tc>
          <w:tcPr>
            <w:tcW w:w="7095" w:type="dxa"/>
            <w:noWrap w:val="0"/>
            <w:vAlign w:val="center"/>
          </w:tcPr>
          <w:p>
            <w:pPr>
              <w:jc w:val="center"/>
              <w:rPr>
                <w:rFonts w:hint="eastAsia" w:eastAsia="宋体"/>
                <w:lang w:val="en-US" w:eastAsia="zh-CN"/>
              </w:rPr>
            </w:pPr>
          </w:p>
          <w:p>
            <w:pPr>
              <w:pStyle w:val="3"/>
              <w:jc w:val="left"/>
              <w:rPr>
                <w:rFonts w:hint="eastAsia"/>
                <w:lang w:val="en-US" w:eastAsia="zh-CN"/>
              </w:rPr>
            </w:pPr>
          </w:p>
          <w:p>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宣讲讲稿，可另附页。</w:t>
            </w:r>
          </w:p>
          <w:p>
            <w:pPr>
              <w:jc w:val="center"/>
              <w:rPr>
                <w:rFonts w:hint="eastAsia" w:eastAsia="宋体"/>
                <w:lang w:val="en-US" w:eastAsia="zh-CN"/>
              </w:rPr>
            </w:pPr>
          </w:p>
          <w:p>
            <w:pPr>
              <w:pStyle w:val="3"/>
              <w:jc w:val="center"/>
              <w:rPr>
                <w:rFonts w:hint="eastAsia"/>
                <w:lang w:val="en-US" w:eastAsia="zh-CN"/>
              </w:rPr>
            </w:pPr>
          </w:p>
          <w:p>
            <w:pPr>
              <w:rPr>
                <w:rFonts w:hint="eastAsia" w:eastAsia="宋体"/>
                <w:lang w:val="en-US" w:eastAsia="zh-CN"/>
              </w:rPr>
            </w:pPr>
          </w:p>
          <w:p>
            <w:pPr>
              <w:pStyle w:val="3"/>
              <w:rPr>
                <w:rFonts w:hint="eastAsia"/>
                <w:lang w:val="en-US" w:eastAsia="zh-CN"/>
              </w:rPr>
            </w:pPr>
          </w:p>
          <w:p>
            <w:pPr>
              <w:rPr>
                <w:rFonts w:hint="eastAsia" w:eastAsia="宋体"/>
                <w:lang w:val="en-US" w:eastAsia="zh-CN"/>
              </w:rPr>
            </w:pPr>
          </w:p>
          <w:p>
            <w:pPr>
              <w:pStyle w:val="3"/>
              <w:jc w:val="both"/>
              <w:rPr>
                <w:rFonts w:hint="eastAsia"/>
                <w:lang w:val="en-US" w:eastAsia="zh-CN"/>
              </w:rPr>
            </w:pPr>
          </w:p>
          <w:p>
            <w:pPr>
              <w:rPr>
                <w:rFonts w:hint="eastAsia" w:eastAsia="宋体"/>
                <w:lang w:val="en-US" w:eastAsia="zh-CN"/>
              </w:rPr>
            </w:pPr>
          </w:p>
          <w:p>
            <w:pPr>
              <w:pStyle w:val="3"/>
              <w:rPr>
                <w:rFonts w:hint="eastAsia"/>
                <w:lang w:val="en-US" w:eastAsia="zh-CN"/>
              </w:rPr>
            </w:pPr>
          </w:p>
        </w:tc>
      </w:tr>
    </w:tbl>
    <w:p>
      <w:pPr>
        <w:pStyle w:val="3"/>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媒体宣传类作品报送表</w:t>
      </w:r>
    </w:p>
    <w:p>
      <w:pPr>
        <w:pStyle w:val="3"/>
        <w:keepNext/>
        <w:keepLines/>
        <w:pageBreakBefore w:val="0"/>
        <w:widowControl w:val="0"/>
        <w:kinsoku/>
        <w:wordWrap/>
        <w:overflowPunct/>
        <w:topLinePunct w:val="0"/>
        <w:autoSpaceDE/>
        <w:autoSpaceDN/>
        <w:bidi w:val="0"/>
        <w:adjustRightInd/>
        <w:snapToGrid/>
        <w:spacing w:before="0" w:beforeLines="0" w:after="157" w:afterLines="50" w:line="5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报送单位：            填报人（电话）：           时间：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noWrap w:val="0"/>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作品名称</w:t>
            </w:r>
          </w:p>
        </w:tc>
        <w:tc>
          <w:tcPr>
            <w:tcW w:w="7305" w:type="dxa"/>
            <w:noWrap w:val="0"/>
            <w:vAlign w:val="top"/>
          </w:tcPr>
          <w:p>
            <w:pP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noWrap w:val="0"/>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作品单位</w:t>
            </w:r>
          </w:p>
        </w:tc>
        <w:tc>
          <w:tcPr>
            <w:tcW w:w="7305" w:type="dxa"/>
            <w:noWrap w:val="0"/>
            <w:vAlign w:val="top"/>
          </w:tcPr>
          <w:p>
            <w:pP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noWrap w:val="0"/>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作品作者</w:t>
            </w:r>
          </w:p>
        </w:tc>
        <w:tc>
          <w:tcPr>
            <w:tcW w:w="7305" w:type="dxa"/>
            <w:noWrap w:val="0"/>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（视频制作人员，可含策划、摄像、剪辑等人员）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3" w:hRule="atLeast"/>
        </w:trPr>
        <w:tc>
          <w:tcPr>
            <w:tcW w:w="1632"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作品介绍</w:t>
            </w:r>
          </w:p>
        </w:tc>
        <w:tc>
          <w:tcPr>
            <w:tcW w:w="7305" w:type="dxa"/>
            <w:noWrap w:val="0"/>
            <w:vAlign w:val="center"/>
          </w:tcPr>
          <w:p>
            <w:pPr>
              <w:jc w:val="both"/>
              <w:rPr>
                <w:rFonts w:hint="eastAsia" w:ascii="仿宋_GB2312" w:hAnsi="仿宋_GB2312" w:eastAsia="仿宋_GB2312" w:cs="仿宋_GB2312"/>
                <w:sz w:val="28"/>
                <w:szCs w:val="28"/>
                <w:vertAlign w:val="baseline"/>
                <w:lang w:val="en-US" w:eastAsia="zh-CN"/>
              </w:rPr>
            </w:pP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作品内容简介及脚本，可另附页。</w:t>
            </w:r>
          </w:p>
          <w:p>
            <w:pPr>
              <w:pStyle w:val="3"/>
              <w:jc w:val="both"/>
              <w:rPr>
                <w:rFonts w:hint="eastAsia"/>
                <w:lang w:val="en-US" w:eastAsia="zh-CN"/>
              </w:rPr>
            </w:pPr>
          </w:p>
          <w:p>
            <w:pPr>
              <w:rPr>
                <w:rFonts w:hint="eastAsia" w:eastAsia="宋体"/>
                <w:lang w:val="en-US" w:eastAsia="zh-CN"/>
              </w:rPr>
            </w:pPr>
          </w:p>
          <w:p>
            <w:pPr>
              <w:pStyle w:val="3"/>
              <w:rPr>
                <w:rFonts w:hint="eastAsia"/>
                <w:lang w:val="en-US" w:eastAsia="zh-CN"/>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keepNext/>
        <w:keepLines/>
        <w:pageBreakBefore w:val="0"/>
        <w:widowControl w:val="0"/>
        <w:kinsoku/>
        <w:wordWrap/>
        <w:overflowPunct/>
        <w:topLinePunct w:val="0"/>
        <w:autoSpaceDE/>
        <w:autoSpaceDN/>
        <w:bidi w:val="0"/>
        <w:adjustRightInd/>
        <w:snapToGrid/>
        <w:spacing w:before="0" w:beforeLines="0" w:after="0" w:afterLines="0" w:line="500" w:lineRule="exact"/>
        <w:jc w:val="both"/>
        <w:textAlignment w:val="auto"/>
        <w:outlineLvl w:val="1"/>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b w:val="0"/>
          <w:bCs w:val="0"/>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文艺作品类作品报送表</w:t>
      </w:r>
    </w:p>
    <w:p>
      <w:pPr>
        <w:pStyle w:val="3"/>
        <w:keepNext/>
        <w:keepLines/>
        <w:pageBreakBefore w:val="0"/>
        <w:widowControl w:val="0"/>
        <w:kinsoku/>
        <w:wordWrap/>
        <w:overflowPunct/>
        <w:topLinePunct w:val="0"/>
        <w:autoSpaceDE/>
        <w:autoSpaceDN/>
        <w:bidi w:val="0"/>
        <w:adjustRightInd/>
        <w:snapToGrid/>
        <w:spacing w:before="0" w:beforeLines="0" w:after="157" w:afterLines="50" w:line="5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报送单位：             填报人（电话）：           时间：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4833"/>
        <w:gridCol w:w="83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作品名称</w:t>
            </w:r>
          </w:p>
        </w:tc>
        <w:tc>
          <w:tcPr>
            <w:tcW w:w="7102" w:type="dxa"/>
            <w:gridSpan w:val="3"/>
            <w:noWrap w:val="0"/>
            <w:vAlign w:val="top"/>
          </w:tcPr>
          <w:p>
            <w:pP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作品形式</w:t>
            </w:r>
          </w:p>
        </w:tc>
        <w:tc>
          <w:tcPr>
            <w:tcW w:w="4833" w:type="dxa"/>
            <w:noWrap w:val="0"/>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（歌舞、小品、快板、戏曲、朗诵等）</w:t>
            </w:r>
          </w:p>
        </w:tc>
        <w:tc>
          <w:tcPr>
            <w:tcW w:w="835"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时长</w:t>
            </w:r>
          </w:p>
        </w:tc>
        <w:tc>
          <w:tcPr>
            <w:tcW w:w="1434" w:type="dxa"/>
            <w:noWrap w:val="0"/>
            <w:vAlign w:val="top"/>
          </w:tcPr>
          <w:p>
            <w:pP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作品单位</w:t>
            </w:r>
          </w:p>
        </w:tc>
        <w:tc>
          <w:tcPr>
            <w:tcW w:w="7102" w:type="dxa"/>
            <w:gridSpan w:val="3"/>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（文艺节目演出单位/团队）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作品作者</w:t>
            </w:r>
          </w:p>
        </w:tc>
        <w:tc>
          <w:tcPr>
            <w:tcW w:w="7102" w:type="dxa"/>
            <w:gridSpan w:val="3"/>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（视频制作人员，可含导演、策划、摄像、剪辑等人员）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演职人员</w:t>
            </w:r>
          </w:p>
        </w:tc>
        <w:tc>
          <w:tcPr>
            <w:tcW w:w="7102" w:type="dxa"/>
            <w:gridSpan w:val="3"/>
            <w:noWrap w:val="0"/>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（参与演出的主要人员名单/团队）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4" w:hRule="atLeast"/>
        </w:trPr>
        <w:tc>
          <w:tcPr>
            <w:tcW w:w="1420" w:type="dxa"/>
            <w:noWrap w:val="0"/>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作品介绍</w:t>
            </w:r>
          </w:p>
        </w:tc>
        <w:tc>
          <w:tcPr>
            <w:tcW w:w="7102" w:type="dxa"/>
            <w:gridSpan w:val="3"/>
            <w:noWrap w:val="0"/>
            <w:vAlign w:val="center"/>
          </w:tcPr>
          <w:p>
            <w:pPr>
              <w:pageBreakBefore w:val="0"/>
              <w:widowControl w:val="0"/>
              <w:kinsoku/>
              <w:wordWrap/>
              <w:overflowPunct/>
              <w:topLinePunct w:val="0"/>
              <w:autoSpaceDE/>
              <w:autoSpaceDN/>
              <w:bidi w:val="0"/>
              <w:adjustRightInd/>
              <w:snapToGrid/>
              <w:spacing w:line="500" w:lineRule="exact"/>
              <w:jc w:val="both"/>
              <w:textAlignment w:val="auto"/>
              <w:rPr>
                <w:rFonts w:hint="eastAsia" w:eastAsia="宋体"/>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eastAsia="宋体"/>
                <w:lang w:val="en-US" w:eastAsia="zh-CN"/>
              </w:rPr>
            </w:pPr>
          </w:p>
          <w:p>
            <w:pPr>
              <w:pStyle w:val="3"/>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eastAsia="宋体"/>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lang w:val="en-US" w:eastAsia="zh-CN"/>
              </w:rPr>
            </w:pPr>
          </w:p>
          <w:p>
            <w:pPr>
              <w:pStyle w:val="3"/>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节目简介及台本，可另附页。</w:t>
            </w:r>
          </w:p>
          <w:p>
            <w:pPr>
              <w:rPr>
                <w:rFonts w:hint="eastAsia" w:eastAsia="宋体"/>
                <w:lang w:val="en-US" w:eastAsia="zh-CN"/>
              </w:rPr>
            </w:pPr>
          </w:p>
          <w:p>
            <w:pPr>
              <w:pStyle w:val="3"/>
              <w:rPr>
                <w:rFonts w:hint="eastAsia"/>
                <w:lang w:val="en-US" w:eastAsia="zh-CN"/>
              </w:rPr>
            </w:pPr>
          </w:p>
          <w:p>
            <w:pPr>
              <w:rPr>
                <w:rFonts w:hint="eastAsia" w:eastAsia="宋体"/>
                <w:lang w:val="en-US" w:eastAsia="zh-CN"/>
              </w:rPr>
            </w:pPr>
          </w:p>
          <w:p>
            <w:pPr>
              <w:rPr>
                <w:rFonts w:hint="eastAsia" w:eastAsia="宋体"/>
                <w:lang w:val="en-US" w:eastAsia="zh-CN"/>
              </w:rPr>
            </w:pPr>
          </w:p>
        </w:tc>
      </w:tr>
    </w:tbl>
    <w:p>
      <w:pPr>
        <w:pStyle w:val="3"/>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黑体" w:hAnsi="黑体" w:eastAsia="黑体" w:cs="黑体"/>
          <w:b w:val="0"/>
          <w:bCs w:val="0"/>
          <w:sz w:val="32"/>
          <w:szCs w:val="32"/>
          <w:lang w:val="en-US" w:eastAsia="zh-CN"/>
        </w:rPr>
      </w:pPr>
    </w:p>
    <w:p>
      <w:pPr>
        <w:rPr>
          <w:rFonts w:hint="eastAsia"/>
          <w:lang w:val="en-US" w:eastAsia="zh-CN"/>
        </w:rPr>
      </w:pPr>
      <w:bookmarkStart w:id="0" w:name="_GoBack"/>
      <w:bookmarkEnd w:id="0"/>
    </w:p>
    <w:p>
      <w:pPr>
        <w:pStyle w:val="3"/>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黑体" w:hAnsi="黑体" w:eastAsia="黑体" w:cs="黑体"/>
          <w:b w:val="0"/>
          <w:bCs w:val="0"/>
          <w:sz w:val="32"/>
          <w:szCs w:val="32"/>
          <w:lang w:val="en-US" w:eastAsia="zh-CN"/>
        </w:rPr>
      </w:pPr>
    </w:p>
    <w:p>
      <w:pPr>
        <w:pStyle w:val="3"/>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方正小标宋简体" w:eastAsia="方正小标宋简体" w:cs="方正小标宋简体"/>
          <w:sz w:val="36"/>
          <w:szCs w:val="36"/>
          <w:u w:val="singl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lang w:val="en-US" w:eastAsia="zh-CN"/>
        </w:rPr>
        <w:t>“微宣讲”视频作品报送汇总表</w:t>
      </w:r>
    </w:p>
    <w:p>
      <w:pPr>
        <w:pStyle w:val="3"/>
        <w:keepNext/>
        <w:keepLines/>
        <w:pageBreakBefore w:val="0"/>
        <w:widowControl w:val="0"/>
        <w:kinsoku/>
        <w:wordWrap/>
        <w:overflowPunct/>
        <w:topLinePunct w:val="0"/>
        <w:autoSpaceDE/>
        <w:autoSpaceDN/>
        <w:bidi w:val="0"/>
        <w:adjustRightInd/>
        <w:snapToGrid/>
        <w:spacing w:before="0" w:beforeLines="0" w:after="157" w:afterLines="50" w:line="520" w:lineRule="exact"/>
        <w:textAlignment w:val="auto"/>
        <w:rPr>
          <w:rFonts w:hint="eastAsia"/>
          <w:lang w:val="en-US" w:eastAsia="zh-CN"/>
        </w:rPr>
      </w:pPr>
      <w:r>
        <w:rPr>
          <w:rFonts w:hint="eastAsia" w:ascii="仿宋_GB2312" w:hAnsi="仿宋_GB2312" w:eastAsia="仿宋_GB2312" w:cs="仿宋_GB2312"/>
          <w:b w:val="0"/>
          <w:bCs w:val="0"/>
          <w:sz w:val="28"/>
          <w:szCs w:val="28"/>
          <w:lang w:val="en-US" w:eastAsia="zh-CN"/>
        </w:rPr>
        <w:t>报送单位：          填报人（电话）：           时间：</w:t>
      </w:r>
    </w:p>
    <w:tbl>
      <w:tblPr>
        <w:tblStyle w:val="5"/>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709"/>
        <w:gridCol w:w="2407"/>
        <w:gridCol w:w="230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序号</w:t>
            </w:r>
          </w:p>
        </w:tc>
        <w:tc>
          <w:tcPr>
            <w:tcW w:w="180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项目类别</w:t>
            </w: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作品名称</w:t>
            </w: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作品单位</w:t>
            </w: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800" w:type="dxa"/>
            <w:vMerge w:val="restart"/>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主题宣讲类</w:t>
            </w: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1800" w:type="dxa"/>
            <w:vMerge w:val="continue"/>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1800" w:type="dxa"/>
            <w:vMerge w:val="continue"/>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1800" w:type="dxa"/>
            <w:vMerge w:val="continue"/>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1800" w:type="dxa"/>
            <w:vMerge w:val="continue"/>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w:t>
            </w:r>
          </w:p>
        </w:tc>
        <w:tc>
          <w:tcPr>
            <w:tcW w:w="1800" w:type="dxa"/>
            <w:vMerge w:val="restart"/>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媒体宣传类</w:t>
            </w: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2</w:t>
            </w:r>
          </w:p>
        </w:tc>
        <w:tc>
          <w:tcPr>
            <w:tcW w:w="1800" w:type="dxa"/>
            <w:vMerge w:val="continue"/>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3</w:t>
            </w:r>
          </w:p>
        </w:tc>
        <w:tc>
          <w:tcPr>
            <w:tcW w:w="1800" w:type="dxa"/>
            <w:vMerge w:val="continue"/>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4</w:t>
            </w:r>
          </w:p>
        </w:tc>
        <w:tc>
          <w:tcPr>
            <w:tcW w:w="1800" w:type="dxa"/>
            <w:vMerge w:val="continue"/>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5</w:t>
            </w:r>
          </w:p>
        </w:tc>
        <w:tc>
          <w:tcPr>
            <w:tcW w:w="1800" w:type="dxa"/>
            <w:vMerge w:val="continue"/>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w:t>
            </w:r>
          </w:p>
        </w:tc>
        <w:tc>
          <w:tcPr>
            <w:tcW w:w="1800" w:type="dxa"/>
            <w:vMerge w:val="restart"/>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文艺作品类</w:t>
            </w: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2</w:t>
            </w:r>
          </w:p>
        </w:tc>
        <w:tc>
          <w:tcPr>
            <w:tcW w:w="1800" w:type="dxa"/>
            <w:vMerge w:val="continue"/>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3</w:t>
            </w:r>
          </w:p>
        </w:tc>
        <w:tc>
          <w:tcPr>
            <w:tcW w:w="1800" w:type="dxa"/>
            <w:vMerge w:val="continue"/>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4</w:t>
            </w:r>
          </w:p>
        </w:tc>
        <w:tc>
          <w:tcPr>
            <w:tcW w:w="1800" w:type="dxa"/>
            <w:vMerge w:val="continue"/>
            <w:noWrap w:val="0"/>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5</w:t>
            </w:r>
          </w:p>
        </w:tc>
        <w:tc>
          <w:tcPr>
            <w:tcW w:w="1800" w:type="dxa"/>
            <w:vMerge w:val="continue"/>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550"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24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245" w:type="dxa"/>
            <w:noWrap w:val="0"/>
            <w:vAlign w:val="top"/>
          </w:tcPr>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仿宋_GB2312" w:eastAsia="仿宋_GB2312" w:cs="仿宋_GB2312"/>
                <w:b w:val="0"/>
                <w:bCs w:val="0"/>
                <w:sz w:val="28"/>
                <w:szCs w:val="28"/>
                <w:vertAlign w:val="baseline"/>
                <w:lang w:val="en-US" w:eastAsia="zh-CN"/>
              </w:rPr>
            </w:pPr>
          </w:p>
        </w:tc>
      </w:tr>
    </w:tbl>
    <w:p>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MGFiNTY0NDhhZGRlZDQ2OTA5NWJjMWEyOTc0YzUifQ=="/>
  </w:docVars>
  <w:rsids>
    <w:rsidRoot w:val="00000000"/>
    <w:rsid w:val="240054DA"/>
    <w:rsid w:val="7DAC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beforeLines="0" w:after="260" w:afterLines="0" w:line="413" w:lineRule="auto"/>
      <w:jc w:val="both"/>
      <w:outlineLvl w:val="1"/>
    </w:pPr>
    <w:rPr>
      <w:rFonts w:ascii="Cambria" w:hAnsi="Cambria" w:eastAsia="宋体" w:cs="Times New Roman"/>
      <w:b/>
      <w:bCs/>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
    <w:qFormat/>
    <w:uiPriority w:val="0"/>
    <w:pPr>
      <w:widowControl w:val="0"/>
      <w:spacing w:after="120" w:line="240" w:lineRule="atLeast"/>
      <w:ind w:firstLine="420" w:firstLineChars="100"/>
      <w:jc w:val="both"/>
      <w:textAlignment w:val="baseline"/>
    </w:pPr>
    <w:rPr>
      <w:rFonts w:ascii="Times New Roman" w:hAnsi="Times New Roman" w:eastAsia="仿宋_GB2312" w:cs="Times New Roman"/>
      <w:spacing w:val="-6"/>
      <w:kern w:val="2"/>
      <w:sz w:val="32"/>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2023-07-20T02:50:17Z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6D220966042F4EE8BBAABA86FBD43BA7_12</vt:lpwstr>
  </property>
</Properties>
</file>