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pacing w:val="0"/>
          <w:sz w:val="44"/>
        </w:rPr>
      </w:pPr>
      <w:bookmarkStart w:id="0" w:name="BodyEnd"/>
      <w:bookmarkEnd w:id="0"/>
    </w:p>
    <w:p>
      <w:pPr>
        <w:spacing w:line="580" w:lineRule="exact"/>
        <w:jc w:val="center"/>
        <w:rPr>
          <w:sz w:val="30"/>
        </w:rPr>
      </w:pPr>
    </w:p>
    <w:p>
      <w:pPr>
        <w:spacing w:line="580" w:lineRule="exact"/>
        <w:jc w:val="center"/>
        <w:rPr>
          <w:sz w:val="30"/>
        </w:rPr>
      </w:pPr>
    </w:p>
    <w:p>
      <w:pPr>
        <w:spacing w:line="580" w:lineRule="exact"/>
        <w:rPr>
          <w:rFonts w:ascii="楷体_GB2312" w:eastAsia="楷体_GB2312"/>
          <w:sz w:val="30"/>
        </w:rPr>
      </w:pPr>
    </w:p>
    <w:p>
      <w:pPr>
        <w:spacing w:line="600" w:lineRule="exact"/>
        <w:jc w:val="center"/>
        <w:rPr>
          <w:rFonts w:ascii="仿宋_GB2312" w:hAnsi="仿宋_GB2312" w:cs="仿宋_GB2312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_GB2312" w:hAnsi="仿宋" w:cs="仿宋_GB231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" w:cs="仿宋_GB2312"/>
          <w:szCs w:val="32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pacing w:val="0"/>
          <w:sz w:val="44"/>
        </w:rPr>
      </w:pPr>
      <w:r>
        <w:rPr>
          <w:rFonts w:hint="eastAsia" w:ascii="仿宋_GB2312" w:hAnsi="仿宋" w:cs="仿宋_GB2312"/>
          <w:szCs w:val="32"/>
        </w:rPr>
        <w:t>闽直工会</w:t>
      </w:r>
      <w:r>
        <w:rPr>
          <w:rFonts w:hint="eastAsia" w:ascii="仿宋_GB2312" w:hAnsi="仿宋"/>
          <w:spacing w:val="10"/>
          <w:szCs w:val="32"/>
        </w:rPr>
        <w:t>〔202</w:t>
      </w:r>
      <w:r>
        <w:rPr>
          <w:rFonts w:hint="eastAsia" w:ascii="仿宋_GB2312" w:hAnsi="仿宋"/>
          <w:spacing w:val="10"/>
          <w:szCs w:val="32"/>
          <w:lang w:val="en-US" w:eastAsia="zh-CN"/>
        </w:rPr>
        <w:t>1</w:t>
      </w:r>
      <w:r>
        <w:rPr>
          <w:rFonts w:hint="eastAsia" w:ascii="仿宋_GB2312" w:hAnsi="仿宋"/>
          <w:spacing w:val="10"/>
          <w:szCs w:val="32"/>
        </w:rPr>
        <w:t>〕</w:t>
      </w:r>
      <w:r>
        <w:rPr>
          <w:rFonts w:hint="eastAsia" w:ascii="仿宋_GB2312" w:hAnsi="仿宋"/>
          <w:spacing w:val="10"/>
          <w:szCs w:val="32"/>
          <w:lang w:val="en-US" w:eastAsia="zh-CN"/>
        </w:rPr>
        <w:t>7</w:t>
      </w:r>
      <w:r>
        <w:rPr>
          <w:rFonts w:hint="eastAsia" w:ascii="仿宋_GB2312" w:hAnsi="仿宋"/>
          <w:spacing w:val="10"/>
          <w:szCs w:val="32"/>
        </w:rPr>
        <w:t>号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pacing w:val="0"/>
          <w:sz w:val="44"/>
        </w:rPr>
      </w:pP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lang w:eastAsia="zh-CN"/>
        </w:rPr>
        <w:t>福建省直机关工会工委关于</w:t>
      </w: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lang w:eastAsia="zh-CN"/>
        </w:rPr>
        <w:t>推进省直机关基层工会上线运行</w:t>
      </w:r>
    </w:p>
    <w:p>
      <w:pPr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lang w:eastAsia="zh-CN"/>
        </w:rPr>
        <w:t>财务管控平台的通知</w:t>
      </w:r>
    </w:p>
    <w:p>
      <w:pPr>
        <w:spacing w:line="600" w:lineRule="exact"/>
        <w:ind w:firstLine="0" w:firstLineChars="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</w:p>
    <w:p>
      <w:pPr>
        <w:spacing w:line="600" w:lineRule="exact"/>
        <w:ind w:firstLine="0" w:firstLineChars="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方正仿宋_GBK"/>
          <w:spacing w:val="0"/>
          <w:lang w:eastAsia="zh-CN"/>
        </w:rPr>
        <w:t>省直各厅局直属（机关）工会、各基层工会：</w:t>
      </w:r>
    </w:p>
    <w:p>
      <w:pPr>
        <w:spacing w:line="600" w:lineRule="exact"/>
        <w:ind w:firstLine="698" w:firstLineChars="20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根据省总工会《关于推进基层工会财务管控平台上线运行的通知》（闽工财〔2020〕35号）要求，从2021年起在省直机关基层工会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全面推行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福建省基层工会财务集中管控系统平台（简称“管控平台”）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上线运行。目前，省直工会已完成管控平台政府采购等前期事宜，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3月底前正式开通运行。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现将有关事项通知如下：</w:t>
      </w:r>
    </w:p>
    <w:p>
      <w:pPr>
        <w:spacing w:line="600" w:lineRule="exact"/>
        <w:ind w:firstLine="640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一、主要功能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通过政府云平台，实现基层工会财务核算、预决算管理、汇总分析等功能，实现省直工会对所属基层工会财务业务统一、规范的管理和监督。</w:t>
      </w:r>
    </w:p>
    <w:p>
      <w:pPr>
        <w:spacing w:line="600" w:lineRule="exact"/>
        <w:ind w:firstLine="640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二、适用对象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组织关系隶属省直工会的所有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基层工会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（含厅局直属机关工会及其所属基层工会）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三、启用时间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从2021年1月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1日起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启用，各基层工会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在5月底前完成管控平台上线运行登录初始化工作，各厅局直属（机关）工会要督促所属基层工会按时完成。原通用财务软件不再使用。</w:t>
      </w:r>
    </w:p>
    <w:p>
      <w:pPr>
        <w:spacing w:line="600" w:lineRule="exact"/>
        <w:ind w:firstLine="640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四、操作事项</w:t>
      </w:r>
    </w:p>
    <w:p>
      <w:pPr>
        <w:spacing w:line="600" w:lineRule="exact"/>
        <w:ind w:firstLine="698" w:firstLineChars="20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1.各基层工会要高度重视，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财务人员应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认真学习管控平台首页发布的操作手册和课件视频。管控平台外网登陆地址为</w:t>
      </w:r>
      <w:r>
        <w:rPr>
          <w:rFonts w:hint="eastAsia" w:ascii="仿宋_GB2312" w:hAnsi="仿宋_GB2312" w:cs="仿宋_GB2312"/>
          <w:spacing w:val="11"/>
        </w:rPr>
        <w:fldChar w:fldCharType="begin"/>
      </w:r>
      <w:r>
        <w:rPr>
          <w:rFonts w:hint="eastAsia" w:ascii="仿宋_GB2312" w:hAnsi="仿宋_GB2312" w:cs="仿宋_GB2312"/>
          <w:spacing w:val="11"/>
        </w:rPr>
        <w:instrText xml:space="preserve"> HYPERLINK "http://112.54.44.109/ghc/saas/index.html" </w:instrText>
      </w:r>
      <w:r>
        <w:rPr>
          <w:rFonts w:hint="eastAsia" w:ascii="仿宋_GB2312" w:hAnsi="仿宋_GB2312" w:cs="仿宋_GB2312"/>
          <w:spacing w:val="11"/>
        </w:rPr>
        <w:fldChar w:fldCharType="separate"/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http://112.54.44.109/ghc/saas/index.html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，点击右上角“登录”输入账号，各基层工会登录账号见附件《省直机关基层工会管控平台登录账号一览表》，原始密码gh123456。后续有关事项及财务工作的通知将通过管控平台“工作通知”栏目发布。</w:t>
      </w:r>
    </w:p>
    <w:p>
      <w:pPr>
        <w:spacing w:line="600" w:lineRule="exact"/>
        <w:ind w:firstLine="698" w:firstLineChars="20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2.管控平台使用服务电话：方拔13665041781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杨小兰15859085208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。管控平台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服务费由省直工会统一支付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，各基层工会不承担费用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。</w:t>
      </w:r>
    </w:p>
    <w:p>
      <w:pPr>
        <w:spacing w:line="600" w:lineRule="exact"/>
        <w:ind w:firstLine="698" w:firstLineChars="20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3.本通知可从福建省直机关工会工委网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（www.fjszgh.gov.cn）“下载专区”下载。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</w:p>
    <w:p>
      <w:pPr>
        <w:spacing w:line="600" w:lineRule="exact"/>
        <w:ind w:firstLine="698" w:firstLineChars="20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宋体" w:hAnsi="宋体" w:eastAsia="宋体" w:cs="宋体"/>
          <w:spacing w:val="11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省直机关基层工会管控平台登录账号一览表</w:t>
      </w:r>
    </w:p>
    <w:p>
      <w:pPr>
        <w:spacing w:line="600" w:lineRule="exact"/>
        <w:ind w:firstLine="698" w:firstLineChars="20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</w:p>
    <w:p>
      <w:pPr>
        <w:spacing w:line="600" w:lineRule="exact"/>
        <w:ind w:firstLine="698" w:firstLineChars="200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福建省直机关工会工委</w:t>
      </w:r>
    </w:p>
    <w:p>
      <w:pPr>
        <w:spacing w:line="600" w:lineRule="exact"/>
        <w:ind w:firstLine="698" w:firstLineChars="200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 xml:space="preserve">                          2021年3月</w:t>
      </w:r>
      <w:r>
        <w:rPr>
          <w:rFonts w:hint="eastAsia" w:ascii="仿宋_GB2312" w:hAnsi="仿宋_GB2312" w:cs="仿宋_GB2312"/>
          <w:spacing w:val="11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日</w:t>
      </w:r>
    </w:p>
    <w:p>
      <w:pPr>
        <w:spacing w:line="240" w:lineRule="auto"/>
        <w:rPr>
          <w:rFonts w:hint="eastAsia" w:ascii="方正仿宋_GBK" w:hAnsi="方正仿宋_GBK"/>
          <w:spacing w:val="0"/>
          <w:szCs w:val="32"/>
          <w:lang w:eastAsia="zh-CN"/>
        </w:rPr>
      </w:pPr>
      <w:r>
        <w:rPr>
          <w:rFonts w:hint="eastAsia" w:ascii="方正仿宋_GBK" w:hAnsi="方正仿宋_GBK"/>
          <w:spacing w:val="0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spacing w:val="0"/>
          <w:szCs w:val="32"/>
          <w:lang w:eastAsia="zh-CN"/>
        </w:rPr>
        <w:t>附件：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2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70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省直机关基层工会管控平台登录账号一览表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工会全称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登陆账号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省纪律检查委员会机关工会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10010010000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省委办公厅机关工会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10020010000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省委办公厅文印中心工会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10022010000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省温泉宾馆（鲤鱼洲宾馆）工会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10022020000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省专用通信局工会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10022030000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省委组织部机关工会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10030010000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省委组织部交流干部服务中心工会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10032010000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福建富闽基金会办公室工会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10032020000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省委宣传部机关工会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10040010000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省委统战部直属工会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10050000000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省委统战部机关工会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10050010000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省工商业联合会工会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10051010000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省社会主义学院工会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10052020000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福建中华职业教育社工会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10051030000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省台湾同胞联谊会工会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10051040000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中国国民党革命委员会福建省委员会机关工会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10051050000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中国民主同盟福建省委员会机关工会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10051060000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中国民主建国会福建省委员会机关工会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10051070000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中国民主促进会福建省委员会机关工会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10051080000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中国农工民主党福建省委员会机关工会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10051090000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中国致公党福建省委员会机关工会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10051100000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九三学社福建省委员会工会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10051110000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台湾民主自治同盟福建省委员会机关工会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10051120000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省委政法委员会机关工会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10060010000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省法学会工会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10062010000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省委全面深化改革委员会办公室机关工会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10070010000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省委国家安全委员会办公室机关工会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10080010000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省委网络安全和信息化委员会办公室机关工会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10090010000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省委机构编制委员会办公室机关工会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10100010000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省委军民融合发展委员会办公室机关工会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10110010000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省委台港澳工作办公室机关工会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10120010000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中共福建省委省直机关工委机关工会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10130010000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省委老干部局机关工会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10140010000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福建老年大学工会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10142010000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省老干部活动中心工会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10142020000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省离休干部休养所工会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10142030000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省直属机关离休干部休养所工会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10142040000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福建老年报社工会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10142050000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省直属机关幼儿园古田村分园工会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10142060000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省人大常委会机关工会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10150010000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省政协机关工会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10160010000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省高级人民法院机关工会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10170010000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福州铁路运输法院工会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10171010000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省人民检察院机关工会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10180010000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省检察官学院工会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10182010000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省人民政府办公厅机关工会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10190010000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省发展和改革委员会机关工会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10200010000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省教育厅机关工会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10210010000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省教育考试院工会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10212010000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省教育装备管理与基建中心工会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10212020000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省普通教育教学研究室工会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10212030000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省教育科学研究所工会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10212040000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省电化教育馆工会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10212050000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省职业技术教育中心工会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10212060000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福建教育电视台工会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10212070000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福建教育杂志社工会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10212080000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福建工业学校工会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10212090000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福建理工学校工会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10212100000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福建建筑学校工会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10212110000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省邮电学校工会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10212120000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福建第二轻工业学校工会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10212130000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省福州第一中学工会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10212140000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省福州实验小学工会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10212150000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省科学技术厅直属工会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10220000000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省科学技术厅机关工会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10220010000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省对外科技交流中心工会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10222010000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省科技发展研究中心工会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10222020000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省科技厅星火计划办公室工会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10222030000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省科学技术信息研究所工会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10222040000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省微生物研究所工会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10222050000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省测试技术研究所工会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10222060000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省联合国南南合作网示范基地(福建海峡技术转移中心)工会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10222070000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省高新技术创业服务中心工会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10222080000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省科技厅农牧业科研中试中心工会 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10222090000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省科技型中小企业技术创新中心工会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10222100000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省工业和信息化厅直属机关工会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10230000000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省工业和信息化厅机关工会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10230010000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福州市无线电管理局工会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10231010000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省散装水泥中心工会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10232020000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省发展新型建筑材料中心工会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10232030000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省电子产品监督检验所工会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10232040000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省无线电监测站工会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10232050000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省机械科学研究院工会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10232060000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省节能中心工会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10232070000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省工艺美术行业发展促进中心工会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10232080000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省工艺美术研究院工会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10232090000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省经济社团服务中心工会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10232100000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省经济和信息化技术中心工会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10232110000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省中小企业服务中心工会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10232120000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省民族与宗教事务厅机关工会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10240010000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省公安厅机关工会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10250010000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省公安厅交通警察总队机关工会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10251010000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福建警察学院工会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10252020000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省民政厅直属机关工会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10260000000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省民政厅机关工会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10260010000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省福利彩票发行中心工会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10262010000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省老年人活动服务中心工会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10262020000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省民政学校工会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10262030000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省司法厅机关工会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10270010000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省司法厅戒毒管理局工会 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10271010000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省女子司法强制隔离戒毒所工会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10271020000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省未成年人司法强制隔离戒毒所工会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10271030000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省榕城司法强制隔离戒毒所工会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10271040000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省福州司法强制隔离戒毒所工会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10271050000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省闽江司法强制隔离戒毒所（省司法戒毒医院）工会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10271060000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省财政厅机关工会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10280010000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省财政厅国库支付中心工会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10282010000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省财政投资评审中心工会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10282020000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省财政信息中心工会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10282030000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省财政厅劳动服务公司工会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10283040000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省注册会计师协会工会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10284050000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省人力资源和社会保障厅机关工会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10290010000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省机关事业社会保险中心工会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10292010000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省劳动就业服务局工会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10292020000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省社会保险中心工会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10292030000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省城乡居民社会养老保险中心工会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10292040000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省劳动保障监察总队工会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10292050000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省职业培训中心工会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10292060000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福建技师学院工会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10292070000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省第二高级技工学校工会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10292080000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省职业技能鉴定指导中心工会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10292090000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省人事考试中心工会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10292100000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省退休职工活动中心工会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10292110000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省自然资源厅机关工会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10300010000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省生态环境厅机关工会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10310010000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省环境监察总队工会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10312010000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省生态环境宣传教育中心工会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10312020000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省生态环境信息中心工会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10312030000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省固体废物及化学品环境管理技术中心工会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10312040000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省生态环境应急与事故调查中心工会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10312050000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省环境影响评价技术中心工会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10312060000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省环境科学研究院工会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10312070000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省环境监测中心站工会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10312080000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省辐射环境监督站工会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10312090000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省近岸海域环境监测站工会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10312100000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省国家大气环境背景值武夷山监测站工会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10312110000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省住房和城乡建设厅直属机关工会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10320000000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省住房和城乡建设厅机关工会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10320010000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省建设工程质量安全总站工会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10322010000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省建设工程造价总站工会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10322020000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省城乡规划设计研究院工会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10322030000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省建设执业资格注册中心工会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10322040000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省建设监察总队工会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10322050000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省建设人才与科技发展中心工会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10322060000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省村镇建设发展中心工会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10322070000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省建设信息中心工会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10322080000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省建筑工程技术中心工会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10322090000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省交通运输厅机关工会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10330010000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省公路事业发展中心工会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10332010000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省运输事业发展中心工会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10332020000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省交通综合行政执法总队工会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10332030000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省交通建设质量安全中心工会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10332040000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省交通规划办公室工会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10332050000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省交通工程造价站工会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10332060000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省交通信息通信与应急处置中心工会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10332070000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省湄洲湾港口发展中心工会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10332080000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省交通经济科技信息中心工会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10332090000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省公路职工温泉疗养院工会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10332100000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省交通科技发展集团有限公司工会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10332110000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省交通规划设计院有限公司工会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10333120000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省交通科研院有限公司工会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10333130000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省交通人力资源有限公司工会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10333140000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省公路水路建设投资有限公司工会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10333150000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省水利厅直属机关工会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省水利厅机关工会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省水文水资源勘测中心工会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省福州水文水资源勘测分中心工会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省洪水预警报中心工会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省水土保持工作站工会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省水土保持试验站工会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省农村饮水安全中心工会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省水利建设中心工会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省水利管理中心工会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10342080000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省水利厅预算执行中心工会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10342090000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省水利水电勘测设计院工会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10342100000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省水利规划院工会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10342110000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省水利水电科学研究院工会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10342120000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省溪源水库管理处工会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10342130000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省水资源与河务管理中心工会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10342140000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省水利水电工程质量技术站工会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10342150000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省水文水资源勘测局闽江河口水文实验站工会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10342160000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省农业农村厅机关工会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10350010000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省商务厅机关工会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10360010000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省外经贸干部培训中心工会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10362010000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省对外经济贸易研究所工会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10362020000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省国际投资促进中心工会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10362030000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省贸易促进中心工会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10362040000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福建国际经济技术合作促进中心工会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10362050000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省外经贸人才交流服务中心工会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10362060000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省酒类管理办公室工会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10362070000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省电子口岸管理中心工会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10362080000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省文化和旅游厅直属机关工会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省文化和旅游厅机关工会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福建博物院工会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省艺术馆工会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省图书馆工会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省少年儿童图书馆工会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省美术馆工会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福建民俗博物馆工会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省昙石山遗址博物馆工会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福建闽越王城博物馆工会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省艺术研究院工会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福建艺术职业学院工会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福建人民艺术剧院工会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省杂技团工会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10372130000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福建京剧院工会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省实验闽剧院工会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福建尹派越剧艺术传承保护中心（福建芳华越剧院）工会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10372160000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省歌舞剧院工会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10372170000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省人民剧场工会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10372180000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福建文艺大厦工会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10372190000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省旅游宣传中心工会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10372210000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省旅游信息中心工会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10372220000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省文艺音像出版社有限公司工会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10373230000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省文化和旅游质量标准化建设中心工会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10372240000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省卫生健康委员会直属机关工会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10380000000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省卫生健康委员会机关工会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10380010000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省疾病预防控制中心工会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10382010000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省卫生计生监督所工会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10382020000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省职业病与化学中毒预防控制中心工会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10382030000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省血液中心工会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10382040000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省医学科学研究院工会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10382050000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省立医院工会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10382060000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省肿瘤医院工会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10382070000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省妇幼保健院工会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10382080000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省级机关医院工会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10382090000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省老年医院工会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10382100000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省计划生育科学技术研究所工会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10382110000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省卫生和计划生育研究宣传教育中心工会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10382120000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省计划生育药具管理站工会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10382130000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省退役军人事务厅机关工会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10390010000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省军用饮食供应站工会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10392010000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省应急管理厅机关工会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10400010000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省应急技术中心工会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10402010000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省安全生产执法总队工会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10402020000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省安全生产科学研究院工会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10402030000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省减灾中心工会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10402040000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省审计厅机关工会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10410010000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省人民政府外事办公室机关工会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10420010000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省外事服务中心工会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10422010000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省外国机构服务中心工会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10423020000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省人民政府国有资产监督管理委员会机关工会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10430010000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省产权交易中心工会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10432010000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省林业局直属机关工会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10440000000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省林业局机关工会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10440010000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省林业调查规划院工会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10442010000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省林业勘察设计院工会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10442020000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省林业科学研究院工会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10442030000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福建生态工程职业技术学校工会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10442040000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福州植物园工会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10442050000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省海洋与渔业局机关工会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10450010000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省海洋与渔业执法总队工会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10452010000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省渔业资源监测中心工会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10452020000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省水产技术推广总站工会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10452030000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省海洋预报台工会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10452040000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省淡水水产研究所工会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10452050000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省水产设计院工会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10452060000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福建海洋职业技术学校工会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10452070000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省渔业互保协会工会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10454080000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省市场监督管理局直属机关工会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10460000000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省市场监督管理局机关工会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10460010000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省产品质量检验研究院工会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10462010000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省标准化研究院工会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10462020000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省计量科学研究院工会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10462030000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省特种设备检验研究院工会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10462040000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省纤维检验中心工会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10462050000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省质量技术监督局行政服务中心工会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10462060000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省工业产品生产许可证审查技术中心工会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10462070000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中国方圆标志认证委员会福建审核中心工会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10462080000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省知识产权发展保护中心工会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10462090000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省市场监督管理局人才开发中心工会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10462100000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省广播电视局机关工会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10470010000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省广播电视监测中心工会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10472010000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省广播电视节目收听收看中心工会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10472020000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国家广电总局五五二台工会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10472030000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国家广电总局东南广播电视维护中心工会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10472040000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省体育局直属工会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省体育局机关工会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省体育局后勤服务中心工会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福建体育职业技术学院工会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省青少年体育学校工会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省体育科学研究所工会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省篮排球运动管理中心工会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省举重运动管理中心工会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省射击射箭运动管理中心工会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省奥林匹克体育中心工会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省游泳跳水运动管理中心工会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省武术运动管理中心工会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省体操技巧运动管理中心工会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省乒羽网运动管理中心工会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省田径自行车运动管理中心工会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10482130000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省重竞技运动管理中心工会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省体育彩票管理中心工会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省老年人体育工作中心工会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10482160000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省体育用品服务中心工会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10482170000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省社会体育指导中心工会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10482180000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省统计局机关工会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10490010000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省人民防空办公室机关工会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10500010000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省人防指挥所管理中心工会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10502010000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省人防（民防）指挥信息保障中心工会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10502020000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省人防建筑设计研究院工会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10502030000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省医疗保障局机关工会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10510010000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省医疗保障基金中心工会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10512010000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省地方金融监督管理局机关工会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10520010000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省人民政府信访局机关工会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10530010000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省机关事务管理局机关工会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10540010000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省直单位住房公积金中心工会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10542010000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省直鳌峰洲住宅管理中心联合工会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10542020000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省直屏山大院管理中心工会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10542030000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省直属机关幼儿园工会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10542040000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省直屏西幼儿园工会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10542050000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省直屏东幼儿园工会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10542060000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省直广厦幼儿园工会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10542070000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省直象峰幼儿园工会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10542080000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省礼宾车队工会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10542090000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省机关服务中心工会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10542100000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省直单位住宅建设服务中心工会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10542110000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省西湖宾馆工会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10542120000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省直物业管理有限公司工会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10543130000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省直车辆服务中心工会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10543140000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省粮食和物资储备局直属机关工会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10550000000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省粮食和物资储备局机关工会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10550010000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省粮食工程设计院工会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10552010000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省粮油科学技术研究所工会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10552020000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福建工贸学校工会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10552030000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省粮油质量监测所工会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10552040000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省救灾物资储备中心工会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10552050000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省监狱管理局机关工会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10560010000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省福州监狱工会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10561010000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省榕城监狱工会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10561020000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省闽江监狱工会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10561030000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省女子监狱工会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10561040000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省仓山监狱工会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10561050000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省福清监狱工会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10561060000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省司法警察训练总队工会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10561070000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省未成年犯管教所工会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10561080000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省建新医院工会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10562090000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省药品监督管理局机关工会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10570010000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省食品药品监督管理局后勤服务中心工会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10572010000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省食品药品监督管理局信息中心工会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10572020000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省食品药品质量检验研究院工会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10572030000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省药品不良反应监测中心工会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10572040000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省食品药品认证审评中心工会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10572050000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省医疗器械与药品包装材料检验所工会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10572060000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省人民政府驻北京办事处工会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10580010000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省总工会机关工会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10590010000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省总工会劳动模范疗休养中心工会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10592010000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省金鸡山温泉疗养院工会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10592020000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省总工会干部学校工会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10592030000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省职工科技教育中心工会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10592040000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生活·创造杂志社工会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10592050000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福州国际海员俱乐部工会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10592060000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省职工服务中心工会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10592070000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中国共产主义青年团福建省委员会机关工会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10600010000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中国共产主义青年团福建省团校工会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10602010000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福建青年人才开发中心工会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10602020000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省青少年事业发展中心工会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10602030000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福建青年杂志社有限公司工会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10603040000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省妇女联合会机关工会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10610010000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省实验幼儿园工会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10612010000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省儿童保育院工会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10612020000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省金山幼儿园工会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10612030000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省妇女干部学校工会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10612040000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省妇女儿童活动中心（省妇联家庭关爱服务中心）工会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10612050000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省妇联法律服务中心工会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10612060000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海峡姐妹杂志社工会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10612070000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省科学技术协会工会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10620010000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省科技馆工会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10622010000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省青少年科技活动中心工会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10622020000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省科学技术咨询服务中心工会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10622030000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省农村科普服务中心工会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10622040000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省社会科学界联合会机关工会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10630010000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省计划生育协会机关工会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10640010000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省文学艺术界联合会机关工会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10650010000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省画院工会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10652010000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冰心文学馆工会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10652020000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省归国华侨联合会机关工会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10660010000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省残疾人联合会工会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10670010000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省残疾人康复教育中心工会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10672010000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省残疾人劳动就业服务中心工会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10672020000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省残疾人体育运动管理中心工会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10672030000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省残疾人辅助器具资源中心工会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10672040000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中国国际贸易促进委员会福建省委员会机关工会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10680010000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省红十字会机关工会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10690010000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省国家安全厅机关工会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10700010000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国家税务总局福建省税务局机关工会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10710010000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中国福州海关直属机关工会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10720000000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福建海诚服务有限公司工会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10723140000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中国海员工会福建海事局机关委员会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10730010000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中国海员工会福建海事局后勤管理中心委员会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10732010000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省气象局机关工会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10740010000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省气象台工会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1O742010000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省气象灾害防御技术中心工会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1O742020000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省气象科学研究所工会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1O742030000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省气候中心工会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1O742040000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省气象信息中心工会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1O742050000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省大气探测技术保障中心工会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1O742060000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省气象服务中心工会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1O742070000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省气象局机关服务中心工会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1O742080000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省气象宣传科普教育中心工会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1O742090000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省地震局机关工会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10750010000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省通信管理局直属机关工会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10760000000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省通信管理局机关工会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10760010000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福建八闽通信人才交流服务中心工会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10763010000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省邮政管理局机关工会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10770010000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福建煤矿安全监察局机关工会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10780010000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财政部福建监管局机关工会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10790010000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国家能源局福建监管办公室机关工会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10800010000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省消防救援总队机关工会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10810010000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省森林消防总队机关工会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10820010000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省委党校福建行政学院机关工会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20010010000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省委党史研究和地方志编纂办公室机关工会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20020010000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省革命历史纪念馆工会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20022010000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省档案馆机关工会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20030010000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福建日报社（报业集团）直属工会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20040000000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海峡都市报社工会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20042010000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福建法治报社工会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20042020000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海峡教育报社工会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20042030000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每周文摘报社工会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20042040000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福建瞭望文化产业投资有限公司工会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20043050000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东南网传媒股份有限公司工会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20043060000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福建日报彩色印刷有限公司工会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20043070000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福建海峡消费报社有限公司工会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20043080000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福建日报新闻发展有限公司工会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20043090000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福建屏山物业管理有限公司工会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20043100000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省广播影视集团直属工会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20050000000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省广播电视传输发射中心工会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20052010000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省音像资料馆工会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20052020000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省海峡广播影视译制中心工会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20052030000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福建广播电视报社有限公司工会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20053040000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海峡世纪（福建）影视文化有限公司工会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20053050000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福建东南卫星传媒有限公司工会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20053060000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福建广电新媒体有限公司工会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20053070000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福建广电融媒体发展有限公司工会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20053080000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省人民政府发展研究中心机关工会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20060010000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福建社会科学院工会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20070010000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省农业科学院直属机关工会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20080000000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省农业科学院机关工会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20080010000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省农业科学院农业经济与科技信息研究所工会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20082010000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省农业科学院植物保护研究所工会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20082020000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省农业科学院农业生态研究所工会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20082030000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省农业科学院土壤肥料研究所工会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20082040000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省农业科学院食用菌研究所工会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20082050000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省农业科学院水稻研究所工会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20082060000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省农业科学院作物研究所工会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20082070000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省农业科学院畜牧兽医研究所工会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20082080000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省农业科学院生物技术研究所工会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20082090000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省农业科学院农业工程技术研究所工会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20082100000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省农业科学院果树研究所工会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20082110000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省农业科学院农业生物资源研究所工会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20082120000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省农业科学院农业质量标准与检测技术研究所工会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20082130000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省农业科学院科技干部培训中心工会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20082140000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省政府投资项目评审中心（省工程咨询中心）工会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20090010000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省供销合作社联合社机关工会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20100010000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福建经济学校工会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20102010000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福建商贸学校工会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20102020000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省茶叶质量检测与技术推广中心工会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20102030000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省地质矿产勘查开发局机关工会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20110010000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省地质测绘院工会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20112010000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省地质测试研究中心工会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20112020000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省地质工程勘察院工会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20112030000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省核工业二九四大队工会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20112040000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省地质调查研究院工会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20112050000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福建山水大酒店工会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20112060000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省地矿建设大队工会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20112070000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省水利水电工程移民发展中心工会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20120010000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福建工程移民职业技术学校工会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20122010000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省测绘地理信息发展中心直属机关工会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20130000000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省测绘地理信息发展中心机关工会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20130010000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省制图院工会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20132010000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省测绘院工会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20132020000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省基础地理信息中心工会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20132030000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省测绘产品质量检测中心工会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20132040000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省煤田地质局机关工会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20140010000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省铁路建设发展中心机关工会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20150010000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中国海峡人才市场机关工会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20160010000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省经济信息中心工会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20170010000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省公共资源交易中心工会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20180010000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福建人民武装学校工会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20190010000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国家统计局福建调查总队机关工会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20200010000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中国科学院福建物质结构研究所工会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20210010000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中国冶金地质总局二局机关工会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20220010000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福建岩土工程勘察研究院有限公司工会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20222010000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中国冶金地质总局西藏地质勘查院工会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20222020000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中国船级社福州分社工会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20230010000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新华通讯社福建分社工会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20240010000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东海航海保障中心福州通信中心工会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20250010000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海峡出版发行集团有限公司机关工会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30010010000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省新闻出版后勤服务有限公司（省新闻出版物业管理有限公司）工会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30013010000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福建人民出版社有限公司工会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30013020000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福建教育出版社有限公司工会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30013030000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福建科学技术出版社有限公司工会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30013040000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福建海峡文艺出版社有限公司工会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30013050000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福建少年儿童出版社工会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30013060000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福建美术出版社工会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30013070000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福建电子音像出版社有限公司工会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30013080000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福建画报社工会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30013090000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福建新华发行（集团）有限公司机关工会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30013100000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省出版对外贸易有限公司工会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30013110000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福建图书联合发行有限公司工会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30013120000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福州华彩印务有限公司工会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30013130000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福建海峡出版物资有限公司工会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30013140000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省冶金(控股)有限公司机关工会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30020010000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省能源集团有限公司机关工会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30030010000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省交通运输集团有限公司机关工会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30040010000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省汽车工业集团有限公司机关工会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30050010000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省电子信息（集团）有限公司机关工会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30060010000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省光学技术研究所工会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30062010000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省电子技术研究所工会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30062020000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省船舶工业集团有限公司机关工会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30070010000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省旅游发展集团有限公司总部工会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30080010000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福建华闽实业(集团)有限公司工会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30083010000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福建中旅集团有限公司机关工会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30083020000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省工业技术展览交流中心有限公司工会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30083030000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省机电（控股）有限公司机关工会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30090010000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省轻纺(控股)有限公司机关工会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30100010000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省国有资产管理有限公司机关工会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30110010000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省二轻工业研究所工会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30112010000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省人力资源服务有限公司工会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30112020000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省环境保护设计院有限公司工会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30120010000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省乡镇企业联合投资有限公司工会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30130010000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省农村信用社联合社机关工会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30140010000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兴业证券股份有限公司工会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30150010000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福州建发实业有限公司工会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30160010000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厦门航空有限公司福州分公司工会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30170010000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福建中福对外劳务合作有限公司工会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30180010000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中国石化销售有限公司福建石油分公司机关工会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30190010000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中石化森美(福建)石油有限公司工会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30200010000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中化泉州石化有限公司工会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30210000000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中国储备粮管理集团有限公司福建分公司机关工会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30220010000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中国烟草总公司福建省公司机关工会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30230010000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中国航空技术进出口福建公司工会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30240010000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中国电建集团福建省电力勘测设计院有限公司工会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30250010000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中国中轻国际控股福建有限公司工会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30260010000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省旅游有限公司工会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30270010000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长江三峡集团福建能源投资有限公司机关工会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30280010000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中国平安人寿保险股份有限公司福建分公司工会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30290010000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中国平安养老保险股份有限公司福建分公司工会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30300010000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华安财产保险股份公司福建分公司工会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30310010000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永诚财产保险福建分公司工会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30320010000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省食品工业协会工会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40010010000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省保险行业协会工会</w:t>
            </w:r>
          </w:p>
        </w:tc>
        <w:tc>
          <w:tcPr>
            <w:tcW w:w="17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40020010000</w:t>
            </w:r>
          </w:p>
        </w:tc>
      </w:tr>
    </w:tbl>
    <w:p>
      <w:pPr>
        <w:spacing w:line="240" w:lineRule="exact"/>
        <w:rPr>
          <w:rFonts w:hint="eastAsia" w:ascii="方正仿宋_GBK" w:hAnsi="方正仿宋_GBK"/>
          <w:spacing w:val="0"/>
          <w:szCs w:val="32"/>
          <w:lang w:eastAsia="zh-CN"/>
        </w:rPr>
      </w:pPr>
    </w:p>
    <w:p>
      <w:bookmarkStart w:id="1" w:name="_GoBack"/>
      <w:bookmarkEnd w:id="1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7" w:header="851" w:footer="1474" w:gutter="0"/>
      <w:cols w:space="720" w:num="1"/>
      <w:docGrid w:type="linesAndChars" w:linePitch="579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08" w:leftChars="100"/>
      <w:rPr>
        <w:rFonts w:hint="eastAsia" w:ascii="宋体" w:hAnsi="宋体" w:eastAsia="宋体" w:cs="宋体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32729"/>
    <w:rsid w:val="01C05025"/>
    <w:rsid w:val="35D3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2021-03-22T07:24:00Z</dcterms:created>
  <dc:creator>琳</dc:creator>
  <cp:lastModifiedBy>琳</cp:lastModifiedBy>
  <dcterms:modified xsi:type="dcterms:W3CDTF">2021-03-22T07:25:48Z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9FF8333921AC4176B317E49441E5C286</vt:lpwstr>
  </property>
</Properties>
</file>